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重庆康盛监理咨询有限公司</w:t>
            </w:r>
            <w:bookmarkEnd w:id="0"/>
            <w:r>
              <w:rPr>
                <w:rFonts w:hint="eastAsia"/>
                <w:color w:val="000000"/>
                <w:sz w:val="24"/>
                <w:szCs w:val="24"/>
              </w:rPr>
              <w:t xml:space="preserve">                 陪同人员：</w:t>
            </w:r>
            <w:r>
              <w:rPr>
                <w:rFonts w:hint="eastAsia" w:ascii="宋体" w:hAnsi="宋体" w:cs="仿宋"/>
                <w:sz w:val="24"/>
                <w:szCs w:val="24"/>
              </w:rPr>
              <w:t>李芳</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sz w:val="24"/>
                <w:szCs w:val="24"/>
              </w:rPr>
            </w:pPr>
            <w:r>
              <w:rPr>
                <w:rFonts w:hint="eastAsia"/>
                <w:color w:val="000000"/>
                <w:sz w:val="24"/>
                <w:szCs w:val="24"/>
              </w:rPr>
              <w:t>审核员：</w:t>
            </w:r>
            <w:bookmarkStart w:id="1" w:name="审核组成员不含组长"/>
            <w:r>
              <w:rPr>
                <w:rFonts w:hint="eastAsia"/>
                <w:color w:val="000000"/>
                <w:sz w:val="24"/>
                <w:szCs w:val="24"/>
              </w:rPr>
              <w:t>文平、冉景洲，李林，陈伟</w:t>
            </w:r>
            <w:bookmarkEnd w:id="1"/>
            <w:r>
              <w:rPr>
                <w:rFonts w:hint="eastAsia"/>
                <w:color w:val="000000"/>
                <w:sz w:val="24"/>
                <w:szCs w:val="24"/>
              </w:rPr>
              <w:t xml:space="preserve">                    </w:t>
            </w:r>
          </w:p>
          <w:p>
            <w:pPr>
              <w:spacing w:before="120"/>
              <w:rPr>
                <w:color w:val="000000"/>
              </w:rPr>
            </w:pPr>
            <w:r>
              <w:rPr>
                <w:rFonts w:hint="eastAsia"/>
                <w:color w:val="000000"/>
                <w:sz w:val="24"/>
                <w:szCs w:val="24"/>
              </w:rPr>
              <w:t>审核时间：</w:t>
            </w:r>
            <w:bookmarkStart w:id="2" w:name="审核日期"/>
            <w:r>
              <w:rPr>
                <w:rFonts w:hint="eastAsia"/>
                <w:color w:val="000000"/>
                <w:sz w:val="24"/>
                <w:szCs w:val="24"/>
              </w:rPr>
              <w:t>2022年07月05日 上午至2022年07月05日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：91500106202812955N </w:t>
            </w:r>
            <w:r>
              <w:rPr>
                <w:rFonts w:hint="eastAsia"/>
                <w:color w:val="000000"/>
                <w:szCs w:val="21"/>
              </w:rPr>
              <w:t>； 有效期：1998年12月09日至永久；</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：房屋建筑工程监理甲级、市政公用工程监理乙级等；</w:t>
            </w:r>
          </w:p>
          <w:p>
            <w:pPr>
              <w:spacing w:line="440" w:lineRule="exact"/>
              <w:ind w:firstLine="420" w:firstLineChars="200"/>
              <w:rPr>
                <w:color w:val="000000"/>
                <w:szCs w:val="21"/>
              </w:rPr>
            </w:pPr>
            <w:r>
              <w:rPr>
                <w:rFonts w:hint="eastAsia"/>
                <w:color w:val="000000"/>
              </w:rPr>
              <w:t>认证申请范围：</w:t>
            </w:r>
            <w:r>
              <w:t>资质范围内的房屋建筑工程监理、市政公用工程监理</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《工程监理资质证书》</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：E150003226 </w:t>
            </w:r>
            <w:r>
              <w:rPr>
                <w:rFonts w:hint="eastAsia"/>
                <w:color w:val="000000"/>
                <w:szCs w:val="21"/>
              </w:rPr>
              <w:t>； 有效期：至2024年09月30日；</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：E250003223 </w:t>
            </w:r>
            <w:r>
              <w:rPr>
                <w:rFonts w:hint="eastAsia"/>
                <w:color w:val="000000"/>
                <w:szCs w:val="21"/>
              </w:rPr>
              <w:t>； 有效期：至2025年05月20日；</w:t>
            </w: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：房屋建筑工程监理甲级、市政公用工程监理乙级、机电安装工程监理乙级</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p>
          <w:p>
            <w:pPr>
              <w:rPr>
                <w:color w:val="000000"/>
              </w:rPr>
            </w:pPr>
            <w:r>
              <w:rPr>
                <w:rFonts w:hint="eastAsia"/>
                <w:color w:val="000000"/>
              </w:rPr>
              <w:t>与《营业执照》和《</w:t>
            </w:r>
            <w:r>
              <w:rPr>
                <w:rFonts w:hint="eastAsia"/>
                <w:b/>
                <w:bCs/>
                <w:color w:val="000000"/>
                <w:szCs w:val="21"/>
              </w:rPr>
              <w:t>工程监理资质证书</w:t>
            </w:r>
            <w:r>
              <w:rPr>
                <w:rFonts w:hint="eastAsia"/>
                <w:color w:val="000000"/>
              </w:rPr>
              <w:t>》内容一致。</w:t>
            </w:r>
          </w:p>
          <w:p>
            <w:pPr>
              <w:rPr>
                <w:color w:val="000000"/>
              </w:rPr>
            </w:pPr>
          </w:p>
          <w:p>
            <w:pPr>
              <w:rPr>
                <w:color w:val="000000"/>
              </w:rPr>
            </w:pPr>
            <w:r>
              <w:rPr>
                <w:rFonts w:hint="eastAsia"/>
                <w:color w:val="000000"/>
              </w:rPr>
              <w:t>经营地址：</w:t>
            </w:r>
            <w:bookmarkStart w:id="3" w:name="生产地址"/>
            <w:r>
              <w:rPr>
                <w:szCs w:val="21"/>
              </w:rPr>
              <w:t>重庆市南岸区腾龙大道27号16幢10-5</w:t>
            </w:r>
            <w:bookmarkEnd w:id="3"/>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highlight w:val="none"/>
              </w:rPr>
            </w:pPr>
            <w:r>
              <w:rPr>
                <w:rFonts w:hint="eastAsia"/>
                <w:color w:val="000000"/>
                <w:highlight w:val="none"/>
              </w:rPr>
              <w:t>多现场的名称和具体位置：</w:t>
            </w:r>
          </w:p>
          <w:p>
            <w:pPr>
              <w:rPr>
                <w:rFonts w:hint="eastAsia" w:eastAsia="宋体"/>
                <w:color w:val="000000"/>
                <w:szCs w:val="21"/>
                <w:highlight w:val="none"/>
                <w:u w:val="single"/>
                <w:lang w:val="en-US" w:eastAsia="zh-CN"/>
              </w:rPr>
            </w:pPr>
            <w:r>
              <w:rPr>
                <w:rFonts w:hint="eastAsia"/>
                <w:color w:val="000000"/>
                <w:highlight w:val="none"/>
              </w:rPr>
              <w:t>现场1：</w:t>
            </w:r>
          </w:p>
          <w:p>
            <w:pPr>
              <w:rPr>
                <w:rFonts w:hint="eastAsia"/>
                <w:color w:val="000000"/>
                <w:highlight w:val="none"/>
              </w:rPr>
            </w:pPr>
            <w:r>
              <w:rPr>
                <w:rFonts w:hint="eastAsia"/>
                <w:color w:val="000000"/>
                <w:highlight w:val="none"/>
              </w:rPr>
              <w:t>现场</w:t>
            </w:r>
            <w:r>
              <w:rPr>
                <w:color w:val="000000"/>
                <w:highlight w:val="none"/>
              </w:rPr>
              <w:t>2</w:t>
            </w:r>
            <w:r>
              <w:rPr>
                <w:rFonts w:hint="eastAsia"/>
                <w:color w:val="000000"/>
                <w:highlight w:val="none"/>
              </w:rPr>
              <w:t>：</w:t>
            </w:r>
          </w:p>
          <w:p>
            <w:pPr>
              <w:rPr>
                <w:color w:val="000000"/>
                <w:highlight w:val="none"/>
              </w:rPr>
            </w:pPr>
            <w:r>
              <w:rPr>
                <w:rFonts w:hint="eastAsia"/>
                <w:color w:val="000000"/>
                <w:highlight w:val="none"/>
              </w:rPr>
              <w:t>与申请时提供的《</w:t>
            </w:r>
            <w:r>
              <w:rPr>
                <w:rFonts w:hint="eastAsia" w:ascii="宋体" w:hAnsi="宋体"/>
                <w:bCs/>
                <w:color w:val="000000"/>
                <w:szCs w:val="21"/>
                <w:highlight w:val="none"/>
              </w:rPr>
              <w:t>多场所申报清单</w:t>
            </w:r>
            <w:r>
              <w:rPr>
                <w:rFonts w:hint="eastAsia"/>
                <w:color w:val="000000"/>
                <w:highlight w:val="none"/>
              </w:rPr>
              <w:t>》是否一致</w:t>
            </w:r>
          </w:p>
          <w:p>
            <w:pPr>
              <w:rPr>
                <w:color w:val="000000"/>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highlight w:val="none"/>
              </w:rPr>
            </w:pPr>
            <w:r>
              <w:rPr>
                <w:rFonts w:hint="eastAsia"/>
                <w:color w:val="000000"/>
                <w:highlight w:val="none"/>
              </w:rPr>
              <w:t>临时现场的名称和具体位置：</w:t>
            </w:r>
          </w:p>
          <w:p>
            <w:pPr>
              <w:rPr>
                <w:rFonts w:hint="eastAsia"/>
                <w:color w:val="000000"/>
                <w:highlight w:val="none"/>
              </w:rPr>
            </w:pPr>
            <w:r>
              <w:rPr>
                <w:rFonts w:hint="eastAsia"/>
                <w:color w:val="000000"/>
                <w:highlight w:val="none"/>
              </w:rPr>
              <w:t>现场1：万科麓山-C12-C13号楼、C15-C17号楼及地下室（C01中小学地库）项目</w:t>
            </w:r>
            <w:r>
              <w:rPr>
                <w:rFonts w:hint="eastAsia"/>
                <w:color w:val="000000"/>
                <w:highlight w:val="none"/>
                <w:lang w:val="en-US" w:eastAsia="zh-CN"/>
              </w:rPr>
              <w:t>/</w:t>
            </w:r>
            <w:r>
              <w:rPr>
                <w:rFonts w:hint="eastAsia"/>
                <w:color w:val="000000"/>
                <w:highlight w:val="none"/>
              </w:rPr>
              <w:t>贵州省贵阳市云岩区北京西路</w:t>
            </w:r>
          </w:p>
          <w:p>
            <w:pPr>
              <w:rPr>
                <w:rFonts w:hint="eastAsia"/>
                <w:color w:val="000000"/>
                <w:highlight w:val="none"/>
              </w:rPr>
            </w:pPr>
            <w:r>
              <w:rPr>
                <w:rFonts w:hint="eastAsia"/>
                <w:color w:val="000000"/>
                <w:highlight w:val="none"/>
              </w:rPr>
              <w:t>现场2</w:t>
            </w:r>
            <w:r>
              <w:rPr>
                <w:rFonts w:hint="eastAsia"/>
                <w:color w:val="000000"/>
                <w:highlight w:val="none"/>
              </w:rPr>
              <w:t>：盛资尹朝社项目三期</w:t>
            </w:r>
            <w:r>
              <w:rPr>
                <w:rFonts w:hint="eastAsia"/>
                <w:color w:val="000000"/>
                <w:highlight w:val="none"/>
                <w:lang w:val="en-US" w:eastAsia="zh-CN"/>
              </w:rPr>
              <w:t>/</w:t>
            </w:r>
            <w:r>
              <w:rPr>
                <w:rFonts w:hint="eastAsia"/>
                <w:color w:val="000000"/>
                <w:highlight w:val="none"/>
              </w:rPr>
              <w:t>九龙坡区尹朝社</w:t>
            </w:r>
          </w:p>
          <w:p>
            <w:pPr>
              <w:rPr>
                <w:rFonts w:hint="eastAsia"/>
                <w:color w:val="000000"/>
                <w:highlight w:val="none"/>
                <w:lang w:val="en-US" w:eastAsia="zh-CN"/>
              </w:rPr>
            </w:pPr>
            <w:r>
              <w:rPr>
                <w:rFonts w:hint="eastAsia"/>
                <w:color w:val="000000"/>
                <w:highlight w:val="none"/>
              </w:rPr>
              <w:t>现场</w:t>
            </w:r>
            <w:r>
              <w:rPr>
                <w:rFonts w:hint="eastAsia"/>
                <w:color w:val="000000"/>
                <w:highlight w:val="none"/>
                <w:lang w:val="en-US" w:eastAsia="zh-CN"/>
              </w:rPr>
              <w:t>3</w:t>
            </w:r>
            <w:r>
              <w:rPr>
                <w:rFonts w:hint="eastAsia"/>
                <w:color w:val="000000"/>
                <w:highlight w:val="none"/>
              </w:rPr>
              <w:t>：昆翔江山礼项目监理工程</w:t>
            </w:r>
            <w:r>
              <w:rPr>
                <w:rFonts w:hint="eastAsia"/>
                <w:color w:val="000000"/>
                <w:highlight w:val="none"/>
                <w:lang w:val="en-US" w:eastAsia="zh-CN"/>
              </w:rPr>
              <w:t>/</w:t>
            </w:r>
            <w:r>
              <w:rPr>
                <w:rFonts w:hint="eastAsia"/>
                <w:color w:val="000000"/>
                <w:highlight w:val="none"/>
              </w:rPr>
              <w:t>重庆涪陵</w:t>
            </w:r>
          </w:p>
          <w:p>
            <w:pPr>
              <w:rPr>
                <w:rFonts w:hint="eastAsia"/>
                <w:color w:val="000000"/>
                <w:highlight w:val="none"/>
                <w:lang w:val="en-US" w:eastAsia="zh-CN"/>
              </w:rPr>
            </w:pPr>
            <w:r>
              <w:rPr>
                <w:rFonts w:hint="eastAsia"/>
                <w:color w:val="000000"/>
                <w:highlight w:val="none"/>
              </w:rPr>
              <w:t>现场</w:t>
            </w:r>
            <w:r>
              <w:rPr>
                <w:rFonts w:hint="eastAsia"/>
                <w:color w:val="000000"/>
                <w:highlight w:val="none"/>
                <w:lang w:val="en-US" w:eastAsia="zh-CN"/>
              </w:rPr>
              <w:t>4</w:t>
            </w:r>
            <w:r>
              <w:rPr>
                <w:rFonts w:hint="eastAsia"/>
                <w:color w:val="000000"/>
                <w:highlight w:val="none"/>
              </w:rPr>
              <w:t>：龙湖蔡家L</w:t>
            </w:r>
            <w:r>
              <w:rPr>
                <w:rFonts w:hint="default"/>
                <w:color w:val="000000"/>
                <w:highlight w:val="none"/>
              </w:rPr>
              <w:t>标准分区项目</w:t>
            </w:r>
            <w:r>
              <w:rPr>
                <w:rFonts w:hint="eastAsia"/>
                <w:color w:val="000000"/>
                <w:highlight w:val="none"/>
                <w:lang w:val="en-US" w:eastAsia="zh-CN"/>
              </w:rPr>
              <w:t>/</w:t>
            </w:r>
            <w:r>
              <w:rPr>
                <w:rFonts w:hint="eastAsia"/>
                <w:color w:val="000000"/>
                <w:highlight w:val="none"/>
              </w:rPr>
              <w:t>重庆市北碚区龙湖蔡家L标准分区</w:t>
            </w:r>
          </w:p>
          <w:p>
            <w:pPr>
              <w:rPr>
                <w:rFonts w:hint="eastAsia"/>
                <w:color w:val="000000"/>
                <w:highlight w:val="none"/>
                <w:lang w:val="en-US" w:eastAsia="zh-CN"/>
              </w:rPr>
            </w:pPr>
            <w:r>
              <w:rPr>
                <w:rFonts w:hint="eastAsia"/>
                <w:color w:val="000000"/>
                <w:highlight w:val="none"/>
              </w:rPr>
              <w:t>现场</w:t>
            </w:r>
            <w:r>
              <w:rPr>
                <w:rFonts w:hint="eastAsia"/>
                <w:color w:val="000000"/>
                <w:highlight w:val="none"/>
                <w:lang w:val="en-US" w:eastAsia="zh-CN"/>
              </w:rPr>
              <w:t>5</w:t>
            </w:r>
            <w:r>
              <w:rPr>
                <w:rFonts w:hint="eastAsia"/>
                <w:color w:val="000000"/>
                <w:highlight w:val="none"/>
              </w:rPr>
              <w:t>：北京城建</w:t>
            </w:r>
            <w:r>
              <w:rPr>
                <w:rFonts w:hint="default"/>
                <w:color w:val="000000"/>
                <w:highlight w:val="none"/>
              </w:rPr>
              <w:t>龙樾熙城</w:t>
            </w:r>
            <w:r>
              <w:rPr>
                <w:rFonts w:hint="eastAsia"/>
                <w:color w:val="000000"/>
                <w:highlight w:val="none"/>
              </w:rPr>
              <w:t>E43-2/03</w:t>
            </w:r>
            <w:r>
              <w:rPr>
                <w:rFonts w:hint="default"/>
                <w:color w:val="000000"/>
                <w:highlight w:val="none"/>
              </w:rPr>
              <w:t>地块施工监理（土石方）</w:t>
            </w:r>
            <w:r>
              <w:rPr>
                <w:rFonts w:hint="eastAsia"/>
                <w:color w:val="000000"/>
                <w:highlight w:val="none"/>
                <w:lang w:val="en-US" w:eastAsia="zh-CN"/>
              </w:rPr>
              <w:t>/</w:t>
            </w:r>
            <w:r>
              <w:rPr>
                <w:rFonts w:hint="eastAsia"/>
                <w:color w:val="000000"/>
                <w:highlight w:val="none"/>
              </w:rPr>
              <w:t>重庆市铜梁区汇龙片区组团</w:t>
            </w:r>
          </w:p>
          <w:p>
            <w:pPr>
              <w:rPr>
                <w:rFonts w:hint="eastAsia"/>
                <w:color w:val="000000"/>
                <w:highlight w:val="none"/>
              </w:rPr>
            </w:pPr>
            <w:r>
              <w:rPr>
                <w:rFonts w:hint="eastAsia"/>
                <w:color w:val="000000"/>
                <w:highlight w:val="none"/>
              </w:rPr>
              <w:t>现场</w:t>
            </w:r>
            <w:r>
              <w:rPr>
                <w:rFonts w:hint="eastAsia"/>
                <w:color w:val="000000"/>
                <w:highlight w:val="none"/>
                <w:lang w:val="en-US" w:eastAsia="zh-CN"/>
              </w:rPr>
              <w:t>6</w:t>
            </w:r>
            <w:r>
              <w:rPr>
                <w:rFonts w:hint="eastAsia"/>
                <w:color w:val="000000"/>
                <w:highlight w:val="none"/>
              </w:rPr>
              <w:t>：重庆市渝中区实验幼儿园</w:t>
            </w:r>
            <w:r>
              <w:rPr>
                <w:rFonts w:hint="eastAsia"/>
                <w:color w:val="000000"/>
                <w:highlight w:val="none"/>
                <w:lang w:val="en-US" w:eastAsia="zh-CN"/>
              </w:rPr>
              <w:t>/</w:t>
            </w:r>
            <w:r>
              <w:rPr>
                <w:rFonts w:hint="eastAsia"/>
                <w:color w:val="000000"/>
                <w:highlight w:val="none"/>
              </w:rPr>
              <w:t>重庆市渝中区长江二路</w:t>
            </w:r>
          </w:p>
          <w:p>
            <w:pPr>
              <w:rPr>
                <w:rFonts w:hint="eastAsia"/>
                <w:color w:val="000000"/>
                <w:highlight w:val="none"/>
                <w:lang w:val="en-US" w:eastAsia="zh-CN"/>
              </w:rPr>
            </w:pPr>
            <w:r>
              <w:rPr>
                <w:rFonts w:hint="eastAsia"/>
                <w:color w:val="000000"/>
                <w:highlight w:val="none"/>
              </w:rPr>
              <w:t>现场</w:t>
            </w:r>
            <w:r>
              <w:rPr>
                <w:rFonts w:hint="eastAsia"/>
                <w:color w:val="000000"/>
                <w:highlight w:val="none"/>
                <w:lang w:val="en-US" w:eastAsia="zh-CN"/>
              </w:rPr>
              <w:t>7</w:t>
            </w:r>
            <w:r>
              <w:rPr>
                <w:rFonts w:hint="eastAsia"/>
                <w:color w:val="000000"/>
                <w:highlight w:val="none"/>
              </w:rPr>
              <w:t>：沙坪坝区西永组团Ah</w:t>
            </w:r>
            <w:r>
              <w:rPr>
                <w:rFonts w:hint="default"/>
                <w:color w:val="000000"/>
                <w:highlight w:val="none"/>
              </w:rPr>
              <w:t>标准分区</w:t>
            </w:r>
            <w:r>
              <w:rPr>
                <w:rFonts w:hint="eastAsia"/>
                <w:color w:val="000000"/>
                <w:highlight w:val="none"/>
              </w:rPr>
              <w:t>Ah01-01-1/06</w:t>
            </w:r>
            <w:r>
              <w:rPr>
                <w:rFonts w:hint="default"/>
                <w:color w:val="000000"/>
                <w:highlight w:val="none"/>
              </w:rPr>
              <w:t>、</w:t>
            </w:r>
            <w:r>
              <w:rPr>
                <w:rFonts w:hint="eastAsia"/>
                <w:color w:val="000000"/>
                <w:highlight w:val="none"/>
              </w:rPr>
              <w:t>Ah01-01-2/06</w:t>
            </w:r>
            <w:r>
              <w:rPr>
                <w:rFonts w:hint="default"/>
                <w:color w:val="000000"/>
                <w:highlight w:val="none"/>
              </w:rPr>
              <w:t>、</w:t>
            </w:r>
            <w:r>
              <w:rPr>
                <w:rFonts w:hint="eastAsia"/>
                <w:color w:val="000000"/>
                <w:highlight w:val="none"/>
              </w:rPr>
              <w:t>Ah03-01/06</w:t>
            </w:r>
            <w:r>
              <w:rPr>
                <w:rFonts w:hint="eastAsia"/>
                <w:color w:val="000000"/>
                <w:highlight w:val="none"/>
                <w:lang w:val="en-US" w:eastAsia="zh-CN"/>
              </w:rPr>
              <w:t>/</w:t>
            </w:r>
            <w:r>
              <w:rPr>
                <w:rFonts w:hint="eastAsia"/>
                <w:color w:val="000000"/>
                <w:highlight w:val="none"/>
              </w:rPr>
              <w:t>沙坪坝区西永组团</w:t>
            </w:r>
          </w:p>
          <w:p>
            <w:pPr>
              <w:rPr>
                <w:rFonts w:hint="eastAsia"/>
                <w:color w:val="000000"/>
                <w:highlight w:val="none"/>
                <w:lang w:val="en-US" w:eastAsia="zh-CN"/>
              </w:rPr>
            </w:pPr>
            <w:r>
              <w:rPr>
                <w:rFonts w:hint="eastAsia"/>
                <w:color w:val="000000"/>
                <w:highlight w:val="none"/>
              </w:rPr>
              <w:t>现场</w:t>
            </w:r>
            <w:r>
              <w:rPr>
                <w:rFonts w:hint="eastAsia"/>
                <w:color w:val="000000"/>
                <w:highlight w:val="none"/>
                <w:lang w:val="en-US" w:eastAsia="zh-CN"/>
              </w:rPr>
              <w:t>8</w:t>
            </w:r>
            <w:r>
              <w:rPr>
                <w:rFonts w:hint="eastAsia"/>
                <w:color w:val="000000"/>
                <w:highlight w:val="none"/>
              </w:rPr>
              <w:t>：F标准分区F98-1F100-1等10个地块周边道路工程</w:t>
            </w:r>
            <w:r>
              <w:rPr>
                <w:rFonts w:hint="eastAsia"/>
                <w:color w:val="000000"/>
                <w:highlight w:val="none"/>
                <w:lang w:val="en-US" w:eastAsia="zh-CN"/>
              </w:rPr>
              <w:t>/</w:t>
            </w:r>
            <w:r>
              <w:rPr>
                <w:rFonts w:hint="eastAsia"/>
                <w:color w:val="000000"/>
                <w:highlight w:val="none"/>
              </w:rPr>
              <w:t>重庆渝北空港新城</w:t>
            </w:r>
          </w:p>
          <w:p>
            <w:pPr>
              <w:rPr>
                <w:color w:val="000000"/>
                <w:szCs w:val="21"/>
                <w:highlight w:val="none"/>
                <w:u w:val="single"/>
              </w:rPr>
            </w:pPr>
          </w:p>
          <w:p>
            <w:pPr>
              <w:rPr>
                <w:color w:val="000000"/>
                <w:highlight w:val="none"/>
              </w:rPr>
            </w:pPr>
            <w:r>
              <w:rPr>
                <w:rFonts w:hint="eastAsia"/>
                <w:color w:val="000000"/>
                <w:highlight w:val="none"/>
              </w:rPr>
              <w:t>确定建设单位的在建项目清单（仅限建工QMS）与申请时提供的《</w:t>
            </w:r>
            <w:r>
              <w:rPr>
                <w:rFonts w:hint="eastAsia" w:ascii="宋体" w:hAnsi="宋体"/>
                <w:bCs/>
                <w:color w:val="000000"/>
                <w:szCs w:val="21"/>
                <w:highlight w:val="none"/>
              </w:rPr>
              <w:t>企业在建项目清单</w:t>
            </w:r>
            <w:r>
              <w:rPr>
                <w:rFonts w:hint="eastAsia"/>
                <w:color w:val="000000"/>
                <w:highlight w:val="none"/>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rFonts w:ascii="宋体" w:hAnsi="宋体"/>
                <w:color w:val="000000"/>
                <w:szCs w:val="21"/>
                <w:highlight w:val="none"/>
              </w:rPr>
            </w:pPr>
            <w:r>
              <w:rPr>
                <w:rFonts w:hint="eastAsia"/>
                <w:color w:val="000000"/>
                <w:szCs w:val="21"/>
                <w:highlight w:val="none"/>
              </w:rPr>
              <w:t>□</w:t>
            </w:r>
            <w:r>
              <w:rPr>
                <w:rFonts w:hint="eastAsia"/>
                <w:color w:val="000000"/>
                <w:highlight w:val="none"/>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ascii="Wingdings" w:hAnsi="Wingdings"/>
                <w:color w:val="000000"/>
              </w:rPr>
              <w:sym w:font="Wingdings" w:char="00FE"/>
            </w:r>
            <w:r>
              <w:rPr>
                <w:rFonts w:hint="eastAsia"/>
                <w:color w:val="000000"/>
              </w:rPr>
              <w:t xml:space="preserve">与组织总部在同一管理体系下运行     </w:t>
            </w:r>
          </w:p>
          <w:p>
            <w:pPr>
              <w:rPr>
                <w:color w:val="000000"/>
              </w:rPr>
            </w:pPr>
            <w:r>
              <w:rPr>
                <w:rFonts w:ascii="Wingdings" w:hAnsi="Wingdings"/>
                <w:color w:val="000000"/>
              </w:rPr>
              <w:sym w:font="Wingdings" w:char="00FE"/>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sym w:font="Wingdings" w:char="00FE"/>
            </w:r>
            <w:r>
              <w:rPr>
                <w:rFonts w:hint="eastAsia"/>
                <w:color w:val="000000"/>
              </w:rPr>
              <w:t>按照统一安排实施内部审核（不强制同一时段）</w:t>
            </w:r>
          </w:p>
          <w:p>
            <w:pPr>
              <w:rPr>
                <w:color w:val="000000"/>
              </w:rPr>
            </w:pPr>
            <w:r>
              <w:rPr>
                <w:rFonts w:ascii="Wingdings" w:hAnsi="Wingdings"/>
                <w:color w:val="000000"/>
              </w:rPr>
              <w:sym w:font="Wingdings" w:char="00FE"/>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生产/服务流程图：</w:t>
            </w:r>
          </w:p>
          <w:p>
            <w:pPr>
              <w:rPr>
                <w:color w:val="000000"/>
              </w:rPr>
            </w:pPr>
            <w:r>
              <w:rPr>
                <w:rFonts w:hint="eastAsia"/>
                <w:color w:val="000000"/>
              </w:rPr>
              <w:t>工程监理：</w:t>
            </w:r>
          </w:p>
          <w:p>
            <w:pPr>
              <w:rPr>
                <w:color w:val="000000"/>
              </w:rPr>
            </w:pPr>
            <w:r>
              <w:rPr>
                <w:rFonts w:hint="eastAsia"/>
                <w:color w:val="000000"/>
              </w:rPr>
              <w:t>业务洽谈→签订合同→人员配置、培训评价→进场→监理服务→验收→交工。</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认证范围内管理体系覆盖的人数（总计560人）　</w:t>
            </w:r>
          </w:p>
          <w:p>
            <w:pPr>
              <w:rPr>
                <w:color w:val="000000"/>
                <w:szCs w:val="18"/>
              </w:rPr>
            </w:pPr>
          </w:p>
          <w:p>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管理手册发布的时间：年月日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标准宣贯的时间：2022年1月10日</w:t>
            </w:r>
          </w:p>
          <w:p>
            <w:pPr>
              <w:rPr>
                <w:color w:val="000000"/>
                <w:szCs w:val="21"/>
              </w:rPr>
            </w:pPr>
            <w:r>
              <w:rPr>
                <w:rFonts w:hint="eastAsia"/>
                <w:color w:val="000000"/>
                <w:szCs w:val="21"/>
              </w:rPr>
              <w:sym w:font="Wingdings 2" w:char="0052"/>
            </w:r>
            <w:r>
              <w:rPr>
                <w:rFonts w:hint="eastAsia"/>
                <w:color w:val="000000"/>
                <w:szCs w:val="21"/>
              </w:rPr>
              <w:t xml:space="preserve">QMS  □EMS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color w:val="000000"/>
                <w:szCs w:val="18"/>
              </w:rPr>
            </w:pPr>
            <w:r>
              <w:rPr>
                <w:rFonts w:hint="eastAsia"/>
                <w:color w:val="000000"/>
                <w:szCs w:val="18"/>
              </w:rPr>
              <w:t>质量第一，信誉第一，用户至上；</w:t>
            </w:r>
          </w:p>
          <w:p>
            <w:pPr>
              <w:widowControl/>
              <w:spacing w:before="40"/>
              <w:jc w:val="left"/>
              <w:rPr>
                <w:color w:val="000000"/>
                <w:szCs w:val="18"/>
              </w:rPr>
            </w:pPr>
            <w:r>
              <w:rPr>
                <w:rFonts w:hint="eastAsia"/>
                <w:color w:val="000000"/>
                <w:szCs w:val="18"/>
              </w:rPr>
              <w:t>节能降耗，防治污染，保护环境；</w:t>
            </w:r>
          </w:p>
          <w:p>
            <w:pPr>
              <w:widowControl/>
              <w:spacing w:before="40"/>
              <w:jc w:val="left"/>
              <w:rPr>
                <w:color w:val="000000"/>
                <w:szCs w:val="18"/>
              </w:rPr>
            </w:pPr>
            <w:r>
              <w:rPr>
                <w:rFonts w:hint="eastAsia"/>
                <w:color w:val="000000"/>
                <w:szCs w:val="18"/>
              </w:rPr>
              <w:t>安全第一，健康安全，减少风险；</w:t>
            </w:r>
          </w:p>
          <w:p>
            <w:pPr>
              <w:widowControl/>
              <w:spacing w:before="40"/>
              <w:jc w:val="left"/>
              <w:rPr>
                <w:color w:val="000000"/>
                <w:szCs w:val="18"/>
              </w:rPr>
            </w:pPr>
            <w:r>
              <w:rPr>
                <w:rFonts w:hint="eastAsia"/>
                <w:color w:val="000000"/>
                <w:szCs w:val="18"/>
              </w:rPr>
              <w:t>全员参与，遵守法规，持续改进。</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bookmarkStart w:id="4" w:name="_GoBack"/>
          </w:p>
          <w:bookmarkEnd w:id="4"/>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spacing w:line="360" w:lineRule="auto"/>
                    <w:rPr>
                      <w:rFonts w:hint="eastAsia" w:ascii="宋体" w:hAnsi="宋体" w:cs="宋体"/>
                      <w:color w:val="000000"/>
                      <w:kern w:val="0"/>
                    </w:rPr>
                  </w:pPr>
                  <w:r>
                    <w:rPr>
                      <w:rFonts w:hint="eastAsia" w:ascii="宋体" w:hAnsi="宋体" w:cs="宋体"/>
                      <w:color w:val="000000"/>
                      <w:kern w:val="0"/>
                    </w:rPr>
                    <w:t>目标</w:t>
                  </w:r>
                </w:p>
              </w:tc>
              <w:tc>
                <w:tcPr>
                  <w:tcW w:w="1387" w:type="dxa"/>
                </w:tcPr>
                <w:p>
                  <w:pPr>
                    <w:spacing w:line="360" w:lineRule="auto"/>
                    <w:rPr>
                      <w:rFonts w:hint="eastAsia" w:ascii="宋体" w:hAnsi="宋体" w:cs="宋体"/>
                      <w:color w:val="000000"/>
                      <w:kern w:val="0"/>
                    </w:rPr>
                  </w:pPr>
                  <w:r>
                    <w:rPr>
                      <w:rFonts w:hint="eastAsia" w:ascii="宋体" w:hAnsi="宋体" w:cs="宋体"/>
                      <w:color w:val="000000"/>
                      <w:kern w:val="0"/>
                    </w:rPr>
                    <w:t>考核频次</w:t>
                  </w:r>
                </w:p>
              </w:tc>
              <w:tc>
                <w:tcPr>
                  <w:tcW w:w="3499" w:type="dxa"/>
                </w:tcPr>
                <w:p>
                  <w:pPr>
                    <w:spacing w:line="360" w:lineRule="auto"/>
                    <w:rPr>
                      <w:rFonts w:hint="eastAsia" w:ascii="宋体" w:hAnsi="宋体" w:cs="宋体"/>
                      <w:color w:val="000000"/>
                      <w:kern w:val="0"/>
                    </w:rPr>
                  </w:pPr>
                  <w:r>
                    <w:rPr>
                      <w:rFonts w:hint="eastAsia" w:ascii="宋体" w:hAnsi="宋体" w:cs="宋体"/>
                      <w:color w:val="000000"/>
                      <w:kern w:val="0"/>
                    </w:rPr>
                    <w:t>计算方法</w:t>
                  </w:r>
                </w:p>
              </w:tc>
              <w:tc>
                <w:tcPr>
                  <w:tcW w:w="2444" w:type="dxa"/>
                </w:tcPr>
                <w:p>
                  <w:pPr>
                    <w:spacing w:line="360" w:lineRule="auto"/>
                    <w:rPr>
                      <w:rFonts w:hint="eastAsia" w:ascii="宋体" w:hAnsi="宋体" w:cs="宋体"/>
                      <w:color w:val="000000"/>
                      <w:kern w:val="0"/>
                    </w:rPr>
                  </w:pPr>
                  <w:r>
                    <w:rPr>
                      <w:rFonts w:hint="eastAsia" w:ascii="宋体" w:hAnsi="宋体" w:cs="宋体"/>
                      <w:color w:val="000000"/>
                      <w:kern w:val="0"/>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rFonts w:hint="eastAsia" w:ascii="宋体" w:hAnsi="宋体" w:cs="宋体"/>
                      <w:color w:val="000000"/>
                      <w:kern w:val="0"/>
                      <w:lang w:val="en-US" w:eastAsia="zh-CN"/>
                    </w:rPr>
                  </w:pPr>
                  <w:r>
                    <w:rPr>
                      <w:rFonts w:hint="eastAsia" w:ascii="宋体" w:hAnsi="宋体" w:cs="宋体"/>
                      <w:color w:val="000000"/>
                      <w:kern w:val="0"/>
                    </w:rPr>
                    <w:t>监理服务合格率</w:t>
                  </w:r>
                  <w:r>
                    <w:rPr>
                      <w:rFonts w:hint="eastAsia" w:ascii="宋体" w:hAnsi="宋体" w:cs="宋体"/>
                      <w:color w:val="000000"/>
                      <w:kern w:val="0"/>
                    </w:rPr>
                    <w:t>100%；</w:t>
                  </w:r>
                </w:p>
              </w:tc>
              <w:tc>
                <w:tcPr>
                  <w:tcW w:w="1387"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月度</w:t>
                  </w:r>
                </w:p>
              </w:tc>
              <w:tc>
                <w:tcPr>
                  <w:tcW w:w="3499" w:type="dxa"/>
                  <w:vAlign w:val="center"/>
                </w:tcPr>
                <w:p>
                  <w:pPr>
                    <w:spacing w:line="360" w:lineRule="auto"/>
                    <w:rPr>
                      <w:rFonts w:hint="eastAsia" w:ascii="宋体" w:hAnsi="宋体" w:cs="宋体"/>
                      <w:color w:val="000000"/>
                      <w:kern w:val="0"/>
                      <w:lang w:val="en-US" w:eastAsia="zh-CN"/>
                    </w:rPr>
                  </w:pPr>
                  <w:r>
                    <w:rPr>
                      <w:rFonts w:hint="eastAsia" w:ascii="宋体" w:hAnsi="宋体" w:cs="宋体"/>
                      <w:color w:val="000000"/>
                      <w:kern w:val="0"/>
                    </w:rPr>
                    <w:t>合格率=合格量÷检验总数量×100%；</w:t>
                  </w:r>
                </w:p>
              </w:tc>
              <w:tc>
                <w:tcPr>
                  <w:tcW w:w="2444" w:type="dxa"/>
                </w:tcPr>
                <w:p>
                  <w:pPr>
                    <w:spacing w:line="360" w:lineRule="auto"/>
                    <w:rPr>
                      <w:rFonts w:hint="default" w:ascii="宋体" w:hAnsi="宋体" w:cs="宋体"/>
                      <w:color w:val="000000"/>
                      <w:kern w:val="0"/>
                      <w:lang w:val="en-US" w:eastAsia="zh-CN"/>
                    </w:rPr>
                  </w:pPr>
                  <w:r>
                    <w:rPr>
                      <w:rFonts w:hint="eastAsia" w:ascii="宋体" w:hAnsi="宋体" w:cs="宋体"/>
                      <w:color w:val="000000"/>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rFonts w:hint="eastAsia" w:ascii="宋体" w:hAnsi="宋体" w:cs="宋体"/>
                      <w:color w:val="000000"/>
                      <w:kern w:val="0"/>
                      <w:lang w:val="en-US" w:eastAsia="zh-CN"/>
                    </w:rPr>
                  </w:pPr>
                  <w:r>
                    <w:rPr>
                      <w:rFonts w:hint="eastAsia" w:ascii="宋体" w:hAnsi="宋体" w:cs="宋体"/>
                      <w:color w:val="000000"/>
                      <w:kern w:val="0"/>
                    </w:rPr>
                    <w:t>顾客满意度95分以上</w:t>
                  </w:r>
                </w:p>
              </w:tc>
              <w:tc>
                <w:tcPr>
                  <w:tcW w:w="1387"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月度</w:t>
                  </w:r>
                </w:p>
              </w:tc>
              <w:tc>
                <w:tcPr>
                  <w:tcW w:w="3499" w:type="dxa"/>
                  <w:vAlign w:val="center"/>
                </w:tcPr>
                <w:p>
                  <w:pPr>
                    <w:spacing w:line="360" w:lineRule="auto"/>
                    <w:rPr>
                      <w:rFonts w:hint="eastAsia" w:ascii="宋体" w:hAnsi="宋体" w:cs="宋体"/>
                      <w:color w:val="000000"/>
                      <w:kern w:val="0"/>
                      <w:lang w:val="en-US" w:eastAsia="zh-CN"/>
                    </w:rPr>
                  </w:pPr>
                  <w:r>
                    <w:rPr>
                      <w:rFonts w:hint="eastAsia" w:ascii="宋体" w:hAnsi="宋体" w:cs="宋体"/>
                      <w:color w:val="000000"/>
                      <w:kern w:val="0"/>
                    </w:rPr>
                    <w:t>满意度=打分总分数÷调查数量</w:t>
                  </w:r>
                </w:p>
              </w:tc>
              <w:tc>
                <w:tcPr>
                  <w:tcW w:w="2444" w:type="dxa"/>
                </w:tcPr>
                <w:p>
                  <w:pPr>
                    <w:spacing w:line="360" w:lineRule="auto"/>
                    <w:rPr>
                      <w:rFonts w:hint="default" w:ascii="宋体" w:hAnsi="宋体" w:cs="宋体"/>
                      <w:color w:val="000000"/>
                      <w:kern w:val="0"/>
                      <w:lang w:val="en-US" w:eastAsia="zh-CN"/>
                    </w:rPr>
                  </w:pPr>
                  <w:r>
                    <w:rPr>
                      <w:rFonts w:hint="eastAsia" w:ascii="宋体" w:hAnsi="宋体" w:cs="宋体"/>
                      <w:color w:val="000000"/>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rFonts w:hint="eastAsia" w:ascii="宋体" w:hAnsi="宋体" w:cs="宋体"/>
                      <w:color w:val="000000"/>
                      <w:kern w:val="0"/>
                      <w:lang w:val="en-US" w:eastAsia="zh-CN"/>
                    </w:rPr>
                  </w:pPr>
                  <w:r>
                    <w:rPr>
                      <w:rFonts w:hint="eastAsia" w:ascii="宋体" w:hAnsi="宋体" w:cs="宋体"/>
                      <w:color w:val="000000"/>
                      <w:kern w:val="0"/>
                    </w:rPr>
                    <w:t>监理服务及时率≥98%</w:t>
                  </w:r>
                </w:p>
              </w:tc>
              <w:tc>
                <w:tcPr>
                  <w:tcW w:w="1387" w:type="dxa"/>
                  <w:vAlign w:val="center"/>
                </w:tcPr>
                <w:p>
                  <w:pPr>
                    <w:jc w:val="center"/>
                    <w:rPr>
                      <w:rFonts w:hint="eastAsia" w:ascii="Times New Roman" w:hAnsi="Times New Roman" w:eastAsia="宋体" w:cs="Times New Roman"/>
                      <w:kern w:val="2"/>
                      <w:sz w:val="21"/>
                      <w:lang w:val="en-US" w:eastAsia="zh-CN" w:bidi="ar-SA"/>
                    </w:rPr>
                  </w:pPr>
                  <w:r>
                    <w:rPr>
                      <w:rFonts w:hint="eastAsia"/>
                    </w:rPr>
                    <w:t>年度</w:t>
                  </w:r>
                </w:p>
              </w:tc>
              <w:tc>
                <w:tcPr>
                  <w:tcW w:w="3499" w:type="dxa"/>
                  <w:vAlign w:val="center"/>
                </w:tcPr>
                <w:p>
                  <w:pPr>
                    <w:spacing w:line="360" w:lineRule="auto"/>
                    <w:rPr>
                      <w:rFonts w:hint="eastAsia" w:ascii="宋体" w:hAnsi="宋体" w:cs="宋体"/>
                      <w:color w:val="000000"/>
                      <w:kern w:val="0"/>
                      <w:lang w:val="en-US" w:eastAsia="zh-CN"/>
                    </w:rPr>
                  </w:pPr>
                  <w:r>
                    <w:rPr>
                      <w:rFonts w:hint="eastAsia" w:ascii="宋体" w:hAnsi="宋体" w:cs="宋体"/>
                      <w:color w:val="000000"/>
                      <w:kern w:val="0"/>
                    </w:rPr>
                    <w:t>及时率=及时数量÷监理总数量×100%</w:t>
                  </w:r>
                </w:p>
              </w:tc>
              <w:tc>
                <w:tcPr>
                  <w:tcW w:w="2444" w:type="dxa"/>
                </w:tcPr>
                <w:p>
                  <w:pPr>
                    <w:spacing w:line="360" w:lineRule="auto"/>
                    <w:rPr>
                      <w:rFonts w:hint="eastAsia" w:ascii="宋体" w:hAnsi="宋体" w:cs="宋体"/>
                      <w:color w:val="000000"/>
                      <w:kern w:val="0"/>
                    </w:rPr>
                  </w:pPr>
                  <w:r>
                    <w:rPr>
                      <w:rFonts w:hint="eastAsia" w:ascii="宋体" w:hAnsi="宋体" w:cs="宋体"/>
                      <w:color w:val="000000"/>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火灾事故为0</w:t>
                  </w:r>
                </w:p>
              </w:tc>
              <w:tc>
                <w:tcPr>
                  <w:tcW w:w="1387"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月度</w:t>
                  </w:r>
                </w:p>
              </w:tc>
              <w:tc>
                <w:tcPr>
                  <w:tcW w:w="3499" w:type="dxa"/>
                  <w:vAlign w:val="center"/>
                </w:tcPr>
                <w:p>
                  <w:pPr>
                    <w:spacing w:line="360" w:lineRule="auto"/>
                    <w:rPr>
                      <w:rFonts w:hint="eastAsia" w:ascii="Times New Roman" w:hAnsi="Times New Roman" w:eastAsia="宋体" w:cs="Times New Roman"/>
                      <w:kern w:val="2"/>
                      <w:sz w:val="21"/>
                      <w:szCs w:val="21"/>
                      <w:lang w:val="en-US" w:eastAsia="zh-CN" w:bidi="ar-SA"/>
                    </w:rPr>
                  </w:pPr>
                  <w:r>
                    <w:rPr>
                      <w:rFonts w:hint="eastAsia"/>
                      <w:szCs w:val="21"/>
                    </w:rPr>
                    <w:t>事故统计；</w:t>
                  </w:r>
                </w:p>
              </w:tc>
              <w:tc>
                <w:tcPr>
                  <w:tcW w:w="2444" w:type="dxa"/>
                  <w:vAlign w:val="center"/>
                </w:tcPr>
                <w:p>
                  <w:pPr>
                    <w:jc w:val="center"/>
                    <w:rPr>
                      <w:rFonts w:ascii="Times New Roman" w:hAnsi="Times New Roman" w:eastAsia="宋体" w:cs="Times New Roman"/>
                      <w:kern w:val="2"/>
                      <w:sz w:val="21"/>
                      <w:lang w:val="en-US" w:eastAsia="zh-CN" w:bidi="ar-SA"/>
                    </w:rPr>
                  </w:pP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固体废弃物处置率</w:t>
                  </w:r>
                  <w:r>
                    <w:rPr>
                      <w:rFonts w:ascii="宋体" w:hAnsi="宋体"/>
                      <w:szCs w:val="21"/>
                    </w:rPr>
                    <w:t>100%</w:t>
                  </w:r>
                </w:p>
              </w:tc>
              <w:tc>
                <w:tcPr>
                  <w:tcW w:w="1387"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月度</w:t>
                  </w:r>
                </w:p>
              </w:tc>
              <w:tc>
                <w:tcPr>
                  <w:tcW w:w="3499" w:type="dxa"/>
                  <w:vAlign w:val="center"/>
                </w:tcPr>
                <w:p>
                  <w:pPr>
                    <w:spacing w:line="360" w:lineRule="auto"/>
                    <w:rPr>
                      <w:rFonts w:hint="eastAsia" w:ascii="Times New Roman" w:hAnsi="Times New Roman" w:eastAsia="宋体" w:cs="Times New Roman"/>
                      <w:kern w:val="2"/>
                      <w:sz w:val="21"/>
                      <w:szCs w:val="21"/>
                      <w:lang w:val="en-US" w:eastAsia="zh-CN" w:bidi="ar-SA"/>
                    </w:rPr>
                  </w:pPr>
                  <w:r>
                    <w:rPr>
                      <w:rFonts w:hint="eastAsia"/>
                      <w:szCs w:val="21"/>
                    </w:rPr>
                    <w:t>定期对固废存放情况进行检查统计；</w:t>
                  </w:r>
                </w:p>
              </w:tc>
              <w:tc>
                <w:tcPr>
                  <w:tcW w:w="2444" w:type="dxa"/>
                  <w:vAlign w:val="center"/>
                </w:tcPr>
                <w:p>
                  <w:pPr>
                    <w:jc w:val="center"/>
                    <w:rPr>
                      <w:rFonts w:ascii="Times New Roman" w:hAnsi="Times New Roman" w:eastAsia="宋体" w:cs="Times New Roman"/>
                      <w:kern w:val="2"/>
                      <w:sz w:val="21"/>
                      <w:lang w:val="en-US" w:eastAsia="zh-CN" w:bidi="ar-SA"/>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意外伤害事故为0</w:t>
                  </w:r>
                </w:p>
              </w:tc>
              <w:tc>
                <w:tcPr>
                  <w:tcW w:w="1387"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月度</w:t>
                  </w:r>
                </w:p>
              </w:tc>
              <w:tc>
                <w:tcPr>
                  <w:tcW w:w="3499" w:type="dxa"/>
                  <w:vAlign w:val="center"/>
                </w:tcPr>
                <w:p>
                  <w:pPr>
                    <w:spacing w:line="360" w:lineRule="auto"/>
                    <w:rPr>
                      <w:rFonts w:hint="eastAsia" w:ascii="Times New Roman" w:hAnsi="Times New Roman" w:eastAsia="宋体" w:cs="Times New Roman"/>
                      <w:kern w:val="2"/>
                      <w:sz w:val="21"/>
                      <w:szCs w:val="21"/>
                      <w:lang w:val="en-US" w:eastAsia="zh-CN" w:bidi="ar-SA"/>
                    </w:rPr>
                  </w:pPr>
                  <w:r>
                    <w:rPr>
                      <w:rFonts w:hint="eastAsia"/>
                      <w:szCs w:val="21"/>
                    </w:rPr>
                    <w:t>事故统计；</w:t>
                  </w:r>
                </w:p>
              </w:tc>
              <w:tc>
                <w:tcPr>
                  <w:tcW w:w="2444" w:type="dxa"/>
                  <w:vAlign w:val="center"/>
                </w:tcPr>
                <w:p>
                  <w:pPr>
                    <w:jc w:val="center"/>
                    <w:rPr>
                      <w:rFonts w:ascii="Times New Roman" w:hAnsi="Times New Roman" w:eastAsia="宋体" w:cs="Times New Roman"/>
                      <w:kern w:val="2"/>
                      <w:sz w:val="21"/>
                      <w:lang w:val="en-US" w:eastAsia="zh-CN" w:bidi="ar-SA"/>
                    </w:rPr>
                  </w:pP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-《管理手册》3份；覆盖了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-文件化的程序；20份；详见《受控文件清单》</w:t>
            </w:r>
          </w:p>
          <w:p>
            <w:pPr>
              <w:rPr>
                <w:color w:val="000000"/>
                <w:szCs w:val="18"/>
              </w:rPr>
            </w:pPr>
            <w:r>
              <w:rPr>
                <w:rFonts w:hint="eastAsia"/>
                <w:color w:val="000000"/>
                <w:szCs w:val="18"/>
              </w:rPr>
              <w:t>-作业文件；20份；详见《受控文件清单》</w:t>
            </w:r>
          </w:p>
          <w:p>
            <w:pPr>
              <w:rPr>
                <w:color w:val="000000"/>
              </w:rPr>
            </w:pPr>
            <w:r>
              <w:rPr>
                <w:rFonts w:hint="eastAsia"/>
                <w:color w:val="000000"/>
                <w:szCs w:val="18"/>
              </w:rPr>
              <w:t>-记录表格；52份；详见《记录清单》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自管理体系建立后，于2022年6月10日-11日实施了内部审核；记录包括：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自管理体系建立后，于2022年6月20日实施了管理评审；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QMS不适用条款：8.3</w:t>
            </w:r>
          </w:p>
          <w:p>
            <w:pPr>
              <w:widowControl/>
              <w:spacing w:before="40"/>
              <w:jc w:val="left"/>
              <w:rPr>
                <w:color w:val="000000"/>
                <w:szCs w:val="18"/>
              </w:rPr>
            </w:pPr>
            <w:r>
              <w:rPr>
                <w:rFonts w:hint="eastAsia"/>
                <w:color w:val="000000"/>
                <w:szCs w:val="18"/>
              </w:rPr>
              <w:t>合理理由的详细说明：</w:t>
            </w:r>
          </w:p>
          <w:p>
            <w:pPr>
              <w:widowControl/>
              <w:spacing w:before="40"/>
              <w:ind w:firstLine="210" w:firstLineChars="100"/>
              <w:jc w:val="left"/>
              <w:rPr>
                <w:color w:val="000000"/>
                <w:szCs w:val="18"/>
              </w:rPr>
            </w:pPr>
            <w:r>
              <w:rPr>
                <w:rFonts w:hint="eastAsia"/>
                <w:color w:val="000000"/>
                <w:szCs w:val="18"/>
              </w:rPr>
              <w:t>由于公司服务依据相关国家标准、行业标准、顾客要求实施，不存在设计和开发过程，因此标准“8.3产品和服务的设计和开发”不适用，该不适用不影响公司提供满足顾客要求和适用法律法规要求的服务的能力或责任。</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质量关键过程（工序）：监理服务过程</w:t>
            </w:r>
            <w:r>
              <w:rPr>
                <w:rFonts w:hint="eastAsia"/>
                <w:color w:val="000000"/>
                <w:u w:val="single"/>
              </w:rPr>
              <w:t>；</w:t>
            </w:r>
            <w:r>
              <w:rPr>
                <w:rFonts w:hint="eastAsia"/>
                <w:color w:val="000000"/>
              </w:rPr>
              <w:t>相关控制参数名称：相关作业标准</w:t>
            </w:r>
            <w:r>
              <w:rPr>
                <w:rFonts w:hint="eastAsia"/>
                <w:color w:val="000000"/>
                <w:u w:val="single"/>
              </w:rPr>
              <w:t>；</w:t>
            </w:r>
          </w:p>
          <w:p>
            <w:pPr>
              <w:rPr>
                <w:color w:val="000000"/>
                <w:u w:val="single"/>
              </w:rPr>
            </w:pPr>
          </w:p>
          <w:p>
            <w:pPr>
              <w:rPr>
                <w:color w:val="000000"/>
                <w:u w:val="single"/>
              </w:rPr>
            </w:pPr>
            <w:r>
              <w:rPr>
                <w:rFonts w:hint="eastAsia"/>
                <w:color w:val="000000"/>
              </w:rPr>
              <w:t>需要确认的过程（工序）：监理服务过程</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人员技能、□设备能力、□原料控制、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w:t>
            </w:r>
            <w:r>
              <w:rPr>
                <w:rFonts w:hint="eastAsia"/>
                <w:color w:val="000000"/>
                <w:szCs w:val="21"/>
              </w:rPr>
              <w:sym w:font="Wingdings 2" w:char="0052"/>
            </w:r>
            <w:r>
              <w:rPr>
                <w:rFonts w:hint="eastAsia"/>
                <w:color w:val="000000"/>
                <w:szCs w:val="21"/>
              </w:rPr>
              <w:t xml:space="preserve">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 xml:space="preserve">；98分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确认生产/服务流程：监理服务过程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，主要有电脑、打印机等办公设备</w:t>
            </w:r>
            <w:r>
              <w:rPr>
                <w:rFonts w:hint="eastAsia"/>
                <w:color w:val="000000"/>
                <w:u w:val="single"/>
              </w:rPr>
              <w:t>；</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；钢筋位置测定仪、非金属板厚度测试仪、全站型电子速测仪、回弹仪、涂层测厚仪、激光水平仪、激光测距仪、数显游标卡尺、工程检测尺、钢卷尺。</w:t>
            </w:r>
          </w:p>
          <w:p>
            <w:pPr>
              <w:widowControl/>
              <w:spacing w:before="40"/>
              <w:jc w:val="left"/>
              <w:rPr>
                <w:color w:val="auto"/>
              </w:rPr>
            </w:pPr>
            <w:r>
              <w:rPr>
                <w:rFonts w:hint="eastAsia"/>
                <w:color w:val="000000"/>
              </w:rPr>
              <w:t>了解检定/校准情况（合格证标识）</w:t>
            </w:r>
          </w:p>
          <w:p>
            <w:pPr>
              <w:widowControl/>
              <w:spacing w:before="40"/>
              <w:jc w:val="left"/>
              <w:rPr>
                <w:color w:val="auto"/>
              </w:rPr>
            </w:pPr>
            <w:r>
              <w:rPr>
                <w:rFonts w:hint="eastAsia"/>
                <w:color w:val="auto"/>
                <w:szCs w:val="21"/>
              </w:rPr>
              <w:t xml:space="preserve">□ </w:t>
            </w:r>
            <w:r>
              <w:rPr>
                <w:rFonts w:hint="eastAsia"/>
                <w:color w:val="auto"/>
              </w:rPr>
              <w:t>校准受控</w:t>
            </w:r>
            <w:r>
              <w:rPr>
                <w:rFonts w:hint="eastAsia"/>
                <w:color w:val="auto"/>
                <w:szCs w:val="21"/>
              </w:rPr>
              <w:sym w:font="Wingdings 2" w:char="0052"/>
            </w:r>
            <w:r>
              <w:rPr>
                <w:rFonts w:hint="eastAsia"/>
                <w:color w:val="auto"/>
              </w:rPr>
              <w:t xml:space="preserve">校准基本受控 </w:t>
            </w:r>
            <w:r>
              <w:rPr>
                <w:rFonts w:hint="eastAsia"/>
                <w:color w:val="auto"/>
                <w:szCs w:val="21"/>
              </w:rPr>
              <w:t xml:space="preserve">□ </w:t>
            </w:r>
            <w:r>
              <w:rPr>
                <w:rFonts w:hint="eastAsia"/>
                <w:color w:val="auto"/>
              </w:rPr>
              <w:t>校准失控，说明</w:t>
            </w:r>
            <w:r>
              <w:rPr>
                <w:rFonts w:hint="eastAsia"/>
                <w:color w:val="auto"/>
                <w:u w:val="single"/>
              </w:rPr>
              <w:t>；回弹仪、涂层测厚仪、激光水平仪、激光测距仪、数显游标卡尺、工程检测尺、钢卷尺不能提供有效校准或检定证书。</w:t>
            </w:r>
          </w:p>
          <w:p>
            <w:pPr>
              <w:widowControl/>
              <w:spacing w:before="40"/>
              <w:jc w:val="left"/>
              <w:rPr>
                <w:color w:val="FF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sym w:font="Wingdings 2" w:char="0052"/>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A8"/>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sym w:font="Wingdings" w:char="00FE"/>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sym w:font="Wingdings" w:char="00FE"/>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t>□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A3"/>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t>□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lMWJmZWIyNDM2YjUyMDU2MTMyZmVlYWJmNzA5MmUifQ=="/>
  </w:docVars>
  <w:rsids>
    <w:rsidRoot w:val="00596245"/>
    <w:rsid w:val="00596245"/>
    <w:rsid w:val="00BE63FD"/>
    <w:rsid w:val="00E04AC3"/>
    <w:rsid w:val="00F37CE5"/>
    <w:rsid w:val="09E3201C"/>
    <w:rsid w:val="0A25600F"/>
    <w:rsid w:val="0CDB6D52"/>
    <w:rsid w:val="12FD4233"/>
    <w:rsid w:val="165E3157"/>
    <w:rsid w:val="208714FC"/>
    <w:rsid w:val="23244DE0"/>
    <w:rsid w:val="27A209C9"/>
    <w:rsid w:val="28D56B7C"/>
    <w:rsid w:val="2B0A0D5F"/>
    <w:rsid w:val="32774452"/>
    <w:rsid w:val="390019F4"/>
    <w:rsid w:val="3C5E04BE"/>
    <w:rsid w:val="435A7DD9"/>
    <w:rsid w:val="454D1979"/>
    <w:rsid w:val="45E561F9"/>
    <w:rsid w:val="4E6A72B9"/>
    <w:rsid w:val="4E7B1966"/>
    <w:rsid w:val="52285DEB"/>
    <w:rsid w:val="549B4C02"/>
    <w:rsid w:val="55CD3D57"/>
    <w:rsid w:val="560D2D97"/>
    <w:rsid w:val="59CD7278"/>
    <w:rsid w:val="5B523ED9"/>
    <w:rsid w:val="5D3A2E77"/>
    <w:rsid w:val="5E6957C1"/>
    <w:rsid w:val="66F52CC3"/>
    <w:rsid w:val="678418BE"/>
    <w:rsid w:val="6D981C1F"/>
    <w:rsid w:val="73DE2356"/>
    <w:rsid w:val="78414C61"/>
    <w:rsid w:val="7B3F61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 w:type="character" w:customStyle="1" w:styleId="14">
    <w:name w:val="font01"/>
    <w:basedOn w:val="7"/>
    <w:uiPriority w:val="0"/>
    <w:rPr>
      <w:rFonts w:ascii="Arial" w:hAnsi="Arial" w:cs="Arial"/>
      <w:color w:val="000000"/>
      <w:sz w:val="20"/>
      <w:szCs w:val="20"/>
      <w:u w:val="none"/>
    </w:rPr>
  </w:style>
  <w:style w:type="character" w:customStyle="1" w:styleId="15">
    <w:name w:val="font11"/>
    <w:basedOn w:val="7"/>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5253</Words>
  <Characters>5519</Characters>
  <Lines>46</Lines>
  <Paragraphs>13</Paragraphs>
  <TotalTime>0</TotalTime>
  <ScaleCrop>false</ScaleCrop>
  <LinksUpToDate>false</LinksUpToDate>
  <CharactersWithSpaces>6372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2022-07-08T02:31:18Z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2052-11.1.0.11830</vt:lpwstr>
  </property>
</Properties>
</file>