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0557-2021-QEO-2022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滁州市智宏工程咨询有限责任公司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滁州市智宏工程咨询有限责任公司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安徽省滁州市花园东路366号</w:t>
            </w:r>
            <w:bookmarkEnd w:id="6"/>
          </w:p>
        </w:tc>
        <w:tc>
          <w:tcPr>
            <w:tcW w:w="1242" w:type="dxa"/>
            <w:vMerge w:val="restart"/>
            <w:vAlign w:val="center"/>
          </w:tcPr>
          <w:p>
            <w:r>
              <w:rPr>
                <w:rFonts w:hint="eastAsia"/>
              </w:rPr>
              <w:t>邮编</w:t>
            </w:r>
          </w:p>
        </w:tc>
        <w:tc>
          <w:tcPr>
            <w:tcW w:w="1771" w:type="dxa"/>
          </w:tcPr>
          <w:p>
            <w:bookmarkStart w:id="7" w:name="注册邮编"/>
            <w:r>
              <w:t>239000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安徽省滁州市花园东路366号</w:t>
            </w:r>
            <w:bookmarkEnd w:id="8"/>
          </w:p>
        </w:tc>
        <w:tc>
          <w:tcPr>
            <w:tcW w:w="1242" w:type="dxa"/>
            <w:vMerge w:val="continue"/>
            <w:vAlign w:val="center"/>
          </w:tcPr>
          <w:p/>
        </w:tc>
        <w:tc>
          <w:tcPr>
            <w:tcW w:w="1771" w:type="dxa"/>
          </w:tcPr>
          <w:p>
            <w:bookmarkStart w:id="9" w:name="办公邮编"/>
            <w:r>
              <w:t>239000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江晨</w:t>
            </w:r>
            <w:bookmarkEnd w:id="10"/>
          </w:p>
        </w:tc>
        <w:tc>
          <w:tcPr>
            <w:tcW w:w="1313" w:type="dxa"/>
            <w:vAlign w:val="center"/>
          </w:tcPr>
          <w:p>
            <w:r>
              <w:rPr>
                <w:rFonts w:hint="eastAsia"/>
              </w:rPr>
              <w:t>电话.</w:t>
            </w:r>
          </w:p>
        </w:tc>
        <w:tc>
          <w:tcPr>
            <w:tcW w:w="2180" w:type="dxa"/>
            <w:vAlign w:val="center"/>
          </w:tcPr>
          <w:p>
            <w:bookmarkStart w:id="11" w:name="联系人电话"/>
            <w:r>
              <w:t>0550-3313507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杨波</w:t>
            </w:r>
            <w:bookmarkEnd w:id="13"/>
          </w:p>
        </w:tc>
        <w:tc>
          <w:tcPr>
            <w:tcW w:w="1313" w:type="dxa"/>
            <w:vAlign w:val="center"/>
          </w:tcPr>
          <w:p>
            <w:r>
              <w:rPr>
                <w:rFonts w:hint="eastAsia"/>
              </w:rPr>
              <w:t>管理者代表</w:t>
            </w:r>
          </w:p>
        </w:tc>
        <w:tc>
          <w:tcPr>
            <w:tcW w:w="2180" w:type="dxa"/>
          </w:tcPr>
          <w:p>
            <w:bookmarkStart w:id="14" w:name="管理者代表"/>
            <w:r>
              <w:t>林森</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szCs w:val="22"/>
                <w:lang w:val="en-US" w:eastAsia="zh-CN"/>
              </w:rPr>
              <w:t>生产工艺流程：</w:t>
            </w:r>
            <w:r>
              <w:rPr>
                <w:rFonts w:hint="eastAsia"/>
                <w:szCs w:val="21"/>
                <w:lang w:val="en-US" w:eastAsia="zh-CN"/>
              </w:rPr>
              <w:t>项目设计和开发任务书—设计输入资料评审—设计进度计划表—专业互提、协作计划表—设计评审、图纸审查计划表—各专业设计输出评审—设计交底会—顾客满意度调查</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2022年07月21日 上午至2022年07月22日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Q：电力工程输电、变电工程设计（限资质范围内）</w:t>
            </w:r>
          </w:p>
          <w:p>
            <w:r>
              <w:t>E：电力工程输电、变电工程设计（限资质范围内）所涉及场所的相关环境管理活动</w:t>
            </w:r>
          </w:p>
          <w:p>
            <w:r>
              <w:t>O：电力工程输电、变电工程设计（限资质范围内）所涉及场所的相关职业健康安全管理活动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Q：34.01.02</w:t>
            </w:r>
          </w:p>
          <w:p>
            <w:r>
              <w:t>E：34.01.02</w:t>
            </w:r>
          </w:p>
          <w:p>
            <w:r>
              <w:t>O：34.01.02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2021年1月2日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b/>
                <w:sz w:val="20"/>
              </w:rPr>
              <w:t>2021年06月27日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7</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eastAsia="ja-JP"/>
              </w:rPr>
              <w:t>01</w:t>
            </w:r>
          </w:p>
        </w:tc>
        <w:tc>
          <w:tcPr>
            <w:tcW w:w="2267" w:type="dxa"/>
            <w:vAlign w:val="top"/>
          </w:tcPr>
          <w:p>
            <w:pPr>
              <w:keepNext w:val="0"/>
              <w:keepLines w:val="0"/>
              <w:suppressLineNumbers w:val="0"/>
              <w:spacing w:before="40" w:beforeAutospacing="0" w:after="40" w:afterAutospacing="0" w:line="240" w:lineRule="auto"/>
              <w:ind w:left="0" w:right="0"/>
              <w:rPr>
                <w:rFonts w:hint="eastAsia" w:eastAsia="宋体"/>
                <w:sz w:val="21"/>
                <w:szCs w:val="21"/>
                <w:lang w:eastAsia="zh-CN"/>
              </w:rPr>
            </w:pPr>
            <w:r>
              <w:rPr>
                <w:rFonts w:hint="eastAsia"/>
                <w:sz w:val="21"/>
                <w:szCs w:val="21"/>
                <w:lang w:eastAsia="zh-CN"/>
              </w:rPr>
              <w:t>滁州市智宏工程咨询有限责任公司</w:t>
            </w:r>
          </w:p>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Theme="minorEastAsia" w:hAnsiTheme="minorEastAsia" w:eastAsiaTheme="minorEastAsia"/>
                <w:sz w:val="20"/>
                <w:lang w:eastAsia="zh-CN"/>
              </w:rPr>
              <w:t>安徽省滁州市花园东路366号</w:t>
            </w:r>
          </w:p>
        </w:tc>
        <w:tc>
          <w:tcPr>
            <w:tcW w:w="2267" w:type="dxa"/>
            <w:vAlign w:val="top"/>
          </w:tcPr>
          <w:p>
            <w:pPr>
              <w:keepNext w:val="0"/>
              <w:keepLines w:val="0"/>
              <w:suppressLineNumbers w:val="0"/>
              <w:spacing w:before="40" w:beforeAutospacing="0" w:after="40" w:afterAutospacing="0" w:line="240" w:lineRule="auto"/>
              <w:ind w:left="0" w:leftChars="0" w:right="0" w:rightChars="0"/>
              <w:rPr>
                <w:lang w:val="de-DE" w:eastAsia="ja-JP"/>
              </w:rPr>
            </w:pPr>
            <w:r>
              <w:rPr>
                <w:rFonts w:hint="eastAsia" w:asciiTheme="minorEastAsia" w:hAnsiTheme="minorEastAsia" w:eastAsiaTheme="minorEastAsia"/>
                <w:sz w:val="20"/>
                <w:lang w:eastAsia="zh-CN"/>
              </w:rPr>
              <w:t>安徽省滁州市花园东路366号</w:t>
            </w:r>
          </w:p>
        </w:tc>
        <w:tc>
          <w:tcPr>
            <w:tcW w:w="571"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25</w:t>
            </w:r>
          </w:p>
        </w:tc>
        <w:tc>
          <w:tcPr>
            <w:tcW w:w="2803" w:type="dxa"/>
            <w:vAlign w:val="center"/>
          </w:tcPr>
          <w:p>
            <w:pPr>
              <w:keepNext w:val="0"/>
              <w:keepLines w:val="0"/>
              <w:suppressLineNumbers w:val="0"/>
              <w:spacing w:before="0" w:beforeAutospacing="0" w:after="0" w:afterAutospacing="0"/>
              <w:ind w:left="0" w:right="0"/>
              <w:rPr>
                <w:rFonts w:hint="eastAsia" w:eastAsia="宋体"/>
                <w:sz w:val="20"/>
                <w:lang w:eastAsia="zh-CN"/>
              </w:rPr>
            </w:pPr>
            <w:r>
              <w:rPr>
                <w:rFonts w:hint="eastAsia"/>
                <w:sz w:val="20"/>
              </w:rPr>
              <w:t>Q：</w:t>
            </w:r>
            <w:r>
              <w:rPr>
                <w:rFonts w:hint="eastAsia"/>
                <w:sz w:val="20"/>
                <w:lang w:eastAsia="zh-CN"/>
              </w:rPr>
              <w:t>电力工程输电、变电工程设计（限资质范围内）</w:t>
            </w:r>
          </w:p>
          <w:p>
            <w:pPr>
              <w:keepNext w:val="0"/>
              <w:keepLines w:val="0"/>
              <w:suppressLineNumbers w:val="0"/>
              <w:spacing w:before="0" w:beforeAutospacing="0" w:after="0" w:afterAutospacing="0"/>
              <w:ind w:left="0" w:right="0"/>
              <w:rPr>
                <w:rFonts w:hint="eastAsia"/>
                <w:sz w:val="20"/>
              </w:rPr>
            </w:pPr>
            <w:r>
              <w:rPr>
                <w:rFonts w:hint="eastAsia"/>
                <w:sz w:val="20"/>
              </w:rPr>
              <w:t>E：</w:t>
            </w:r>
            <w:r>
              <w:rPr>
                <w:rFonts w:hint="eastAsia"/>
                <w:sz w:val="20"/>
                <w:lang w:eastAsia="zh-CN"/>
              </w:rPr>
              <w:t>电力工程输电、变电工程设计（限资质范围内）</w:t>
            </w:r>
            <w:r>
              <w:rPr>
                <w:rFonts w:hint="eastAsia"/>
                <w:sz w:val="20"/>
              </w:rPr>
              <w:t>所涉及场所的相关环境管理活动</w:t>
            </w:r>
          </w:p>
          <w:p>
            <w:pPr>
              <w:keepNext w:val="0"/>
              <w:keepLines w:val="0"/>
              <w:suppressLineNumbers w:val="0"/>
              <w:spacing w:before="0" w:beforeAutospacing="0" w:after="0" w:afterAutospacing="0"/>
              <w:ind w:left="0" w:leftChars="0" w:right="0" w:rightChars="0"/>
              <w:rPr>
                <w:lang w:eastAsia="ja-JP"/>
              </w:rPr>
            </w:pPr>
            <w:r>
              <w:rPr>
                <w:rFonts w:hint="eastAsia"/>
                <w:sz w:val="20"/>
              </w:rPr>
              <w:t>O：</w:t>
            </w:r>
            <w:r>
              <w:rPr>
                <w:rFonts w:hint="eastAsia"/>
                <w:sz w:val="20"/>
                <w:lang w:eastAsia="zh-CN"/>
              </w:rPr>
              <w:t>电力工程输电、变电工程设计（限资质范围内）</w:t>
            </w:r>
            <w:r>
              <w:rPr>
                <w:rFonts w:hint="eastAsia"/>
                <w:sz w:val="20"/>
              </w:rPr>
              <w:t>所涉及场所的相关职业健康安全管理活动</w:t>
            </w:r>
          </w:p>
        </w:tc>
        <w:tc>
          <w:tcPr>
            <w:tcW w:w="669"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r>
              <w:t>E:34.01.02</w:t>
            </w:r>
          </w:p>
          <w:p>
            <w: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朱恒</w:t>
            </w:r>
          </w:p>
        </w:tc>
        <w:tc>
          <w:tcPr>
            <w:tcW w:w="1089" w:type="dxa"/>
            <w:vAlign w:val="center"/>
          </w:tcPr>
          <w:p>
            <w:r>
              <w:t>组员</w:t>
            </w:r>
          </w:p>
        </w:tc>
        <w:tc>
          <w:tcPr>
            <w:tcW w:w="711" w:type="dxa"/>
            <w:vAlign w:val="center"/>
          </w:tcPr>
          <w:p>
            <w:r>
              <w:t>男</w:t>
            </w:r>
          </w:p>
        </w:tc>
        <w:tc>
          <w:tcPr>
            <w:tcW w:w="3870" w:type="dxa"/>
            <w:vAlign w:val="center"/>
          </w:tcPr>
          <w:p>
            <w:r>
              <w:t>ISC-JSZJ-331</w:t>
            </w:r>
          </w:p>
          <w:p>
            <w:r>
              <w:t>ISC-JSZJ-331</w:t>
            </w:r>
          </w:p>
          <w:p>
            <w:r>
              <w:t>滁州市众鹏电力工程咨询有限公司</w:t>
            </w:r>
          </w:p>
        </w:tc>
        <w:tc>
          <w:tcPr>
            <w:tcW w:w="2179" w:type="dxa"/>
            <w:vAlign w:val="center"/>
          </w:tcPr>
          <w:p>
            <w:r>
              <w:t>Q:34.01.02</w:t>
            </w:r>
          </w:p>
          <w:p>
            <w: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已整改，未发生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vMerge w:val="restart"/>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Borders/>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vMerge w:val="continue"/>
            <w:tcBorders/>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vMerge w:val="continue"/>
            <w:tcBorders/>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default" w:eastAsia="宋体"/>
                <w:color w:val="auto"/>
                <w:sz w:val="21"/>
                <w:szCs w:val="21"/>
                <w:lang w:val="en-US" w:eastAsia="zh-CN"/>
              </w:rPr>
              <w:drawing>
                <wp:anchor distT="0" distB="0" distL="114300" distR="114300" simplePos="0" relativeHeight="251662336" behindDoc="0" locked="0" layoutInCell="1" allowOverlap="1">
                  <wp:simplePos x="0" y="0"/>
                  <wp:positionH relativeFrom="column">
                    <wp:posOffset>388620</wp:posOffset>
                  </wp:positionH>
                  <wp:positionV relativeFrom="paragraph">
                    <wp:posOffset>6066155</wp:posOffset>
                  </wp:positionV>
                  <wp:extent cx="514350" cy="371475"/>
                  <wp:effectExtent l="0" t="0" r="635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2022.7.22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lang w:eastAsia="zh-CN"/>
        </w:rPr>
      </w:pPr>
      <w:r>
        <w:rPr>
          <w:shd w:val="clear" w:color="FFFFFF" w:fill="D9D9D9"/>
          <w:lang w:eastAsia="zh-CN"/>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szCs w:val="21"/>
                    </w:rPr>
                    <w:t>法律环境</w:t>
                  </w:r>
                  <w:r>
                    <w:rPr>
                      <w:rFonts w:hint="eastAsia"/>
                    </w:rPr>
                    <w:t xml:space="preserve"> ☑社会☑ 政治法律☑经济环境 ☑市场</w:t>
                  </w:r>
                  <w:r>
                    <w:rPr>
                      <w:rFonts w:hint="eastAsia"/>
                      <w:lang w:val="en-US" w:eastAsia="zh-CN"/>
                    </w:rPr>
                    <w:t>竞争</w:t>
                  </w:r>
                  <w:r>
                    <w:rPr>
                      <w:rFonts w:hint="eastAsia"/>
                    </w:rPr>
                    <w:t xml:space="preserve"> ☑周边自然环境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☑财务资源 ☑人员能力 ☑企业文化 ☑价值观 ☑知识 ☑绩效  ☑</w:t>
                  </w:r>
                  <w:r>
                    <w:rPr>
                      <w:rFonts w:hint="eastAsia"/>
                      <w:lang w:val="en-US" w:eastAsia="zh-CN"/>
                    </w:rPr>
                    <w:t>运营</w:t>
                  </w:r>
                  <w:r>
                    <w:rPr>
                      <w:rFonts w:hint="eastAsia"/>
                    </w:rPr>
                    <w:t xml:space="preserve">  □其他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2409"/>
              <w:gridCol w:w="348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center"/>
                </w:tcPr>
                <w:p>
                  <w:pPr>
                    <w:keepNext w:val="0"/>
                    <w:keepLines w:val="0"/>
                    <w:suppressLineNumbers w:val="0"/>
                    <w:spacing w:before="0" w:beforeAutospacing="0" w:after="0" w:afterAutospacing="0"/>
                    <w:ind w:left="0" w:right="0"/>
                    <w:jc w:val="both"/>
                    <w:rPr>
                      <w:rFonts w:hint="default" w:eastAsia="宋体"/>
                      <w:color w:val="000000" w:themeColor="text1"/>
                      <w:lang w:val="en-US" w:eastAsia="zh-CN"/>
                    </w:rPr>
                  </w:pPr>
                  <w:r>
                    <w:rPr>
                      <w:rFonts w:hint="default" w:ascii="Times New Roman" w:hAnsi="Times New Roman" w:eastAsia="宋体" w:cs="Times New Roman"/>
                      <w:color w:val="000000" w:themeColor="text1"/>
                      <w:szCs w:val="22"/>
                      <w:lang w:val="en-US" w:eastAsia="zh-CN"/>
                    </w:rPr>
                    <w:t>滁州电业局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lang w:val="en-US"/>
                    </w:rPr>
                  </w:pPr>
                  <w:r>
                    <w:rPr>
                      <w:rFonts w:hint="eastAsia"/>
                      <w:vertAlign w:val="baseline"/>
                      <w:lang w:val="en-US" w:eastAsia="zh-CN"/>
                    </w:rPr>
                    <w:t xml:space="preserve"> </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lang w:val="en-US"/>
                    </w:rPr>
                  </w:pPr>
                  <w:r>
                    <w:rPr>
                      <w:rFonts w:hint="eastAsia"/>
                      <w:lang w:val="en-US" w:eastAsia="zh-CN"/>
                    </w:rPr>
                    <w:t>国网安徽省电力有限公司滁州供电公司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A3"/>
            </w:r>
            <w:r>
              <w:rPr>
                <w:rFonts w:hint="eastAsia"/>
              </w:rPr>
              <w:t xml:space="preserve">市场拓展 </w:t>
            </w:r>
            <w:r>
              <w:rPr>
                <w:rFonts w:hint="eastAsia"/>
              </w:rPr>
              <w:sym w:font="Wingdings 2" w:char="00A3"/>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52"/>
            </w: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A3"/>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精心设计、尽心服务、持续改进、顾客满意、环境和谐 、安全健康 、 预防为主、 诚信守法、  持续改进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查制定有《</w:t>
            </w:r>
            <w:r>
              <w:rPr>
                <w:rFonts w:hint="eastAsia"/>
              </w:rPr>
              <w:t>风险和机遇的应对措施控制程序</w:t>
            </w:r>
            <w:r>
              <w:rPr>
                <w:rFonts w:hint="eastAsia"/>
                <w:lang w:eastAsia="zh-CN"/>
              </w:rPr>
              <w:t>》（</w:t>
            </w:r>
            <w:r>
              <w:rPr>
                <w:rFonts w:hint="eastAsia"/>
              </w:rPr>
              <w:t>HY-QES-CX-23</w:t>
            </w:r>
            <w:r>
              <w:rPr>
                <w:rFonts w:hint="eastAsia"/>
                <w:lang w:eastAsia="zh-CN"/>
              </w:rPr>
              <w:t>），</w:t>
            </w:r>
            <w:r>
              <w:rPr>
                <w:rFonts w:hint="eastAsia"/>
                <w:lang w:val="en-US" w:eastAsia="zh-CN"/>
              </w:rPr>
              <w:t>提供有《风险与机遇评价与应对策划表》，</w:t>
            </w:r>
          </w:p>
          <w:p>
            <w:pPr>
              <w:keepNext w:val="0"/>
              <w:keepLines w:val="0"/>
              <w:suppressLineNumbers w:val="0"/>
              <w:spacing w:before="0" w:beforeAutospacing="0" w:after="0" w:afterAutospacing="0"/>
              <w:ind w:left="0" w:right="0"/>
              <w:rPr>
                <w:rFonts w:hint="eastAsia"/>
              </w:rPr>
            </w:pPr>
            <w:r>
              <w:rPr>
                <w:rFonts w:hint="eastAsia"/>
              </w:rPr>
              <w:t>企业识别了如下分析：</w:t>
            </w:r>
          </w:p>
          <w:p>
            <w:pPr>
              <w:keepNext w:val="0"/>
              <w:keepLines w:val="0"/>
              <w:suppressLineNumbers w:val="0"/>
              <w:spacing w:before="0" w:beforeAutospacing="0" w:after="0" w:afterAutospacing="0"/>
              <w:ind w:left="0" w:right="0"/>
              <w:rPr>
                <w:rFonts w:hint="eastAsia"/>
              </w:rPr>
            </w:pPr>
            <w:r>
              <w:rPr>
                <w:rFonts w:hint="eastAsia"/>
              </w:rPr>
              <w:t>1、政策风险：有产业和政策调整的风险较小。但为了防止未来有可能发生改变的政策，企业拟在其它类型的工作业务扩大做准备。</w:t>
            </w:r>
          </w:p>
          <w:p>
            <w:pPr>
              <w:keepNext w:val="0"/>
              <w:keepLines w:val="0"/>
              <w:suppressLineNumbers w:val="0"/>
              <w:spacing w:before="0" w:beforeAutospacing="0" w:after="0" w:afterAutospacing="0"/>
              <w:ind w:left="0" w:right="0"/>
              <w:rPr>
                <w:rFonts w:hint="eastAsia"/>
              </w:rPr>
            </w:pPr>
            <w:r>
              <w:rPr>
                <w:rFonts w:hint="eastAsia"/>
              </w:rPr>
              <w:t>2、资金风险：产品及人工成本不断提高，是对资金风险的考验，但不会是关键风险。</w:t>
            </w:r>
          </w:p>
          <w:p>
            <w:pPr>
              <w:keepNext w:val="0"/>
              <w:keepLines w:val="0"/>
              <w:suppressLineNumbers w:val="0"/>
              <w:spacing w:before="0" w:beforeAutospacing="0" w:after="0" w:afterAutospacing="0"/>
              <w:ind w:left="0" w:right="0"/>
              <w:rPr>
                <w:rFonts w:hint="eastAsia"/>
              </w:rPr>
            </w:pPr>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pPr>
              <w:keepNext w:val="0"/>
              <w:keepLines w:val="0"/>
              <w:suppressLineNumbers w:val="0"/>
              <w:spacing w:before="0" w:beforeAutospacing="0" w:after="0" w:afterAutospacing="0"/>
              <w:ind w:left="0" w:right="0"/>
              <w:rPr>
                <w:rFonts w:hint="eastAsia"/>
              </w:rPr>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综合管理部</w:t>
            </w:r>
            <w:r>
              <w:rPr>
                <w:rFonts w:hint="eastAsia"/>
              </w:rPr>
              <w:t>负责管理人员的登记造册、技能培训、人员招聘等，并加大培训力度多方储备人才，防止因人员的流失而造成工作的停滞，造成损失。</w:t>
            </w:r>
          </w:p>
          <w:p>
            <w:pPr>
              <w:keepNext w:val="0"/>
              <w:keepLines w:val="0"/>
              <w:suppressLineNumbers w:val="0"/>
              <w:spacing w:before="0" w:beforeAutospacing="0" w:after="0" w:afterAutospacing="0"/>
              <w:ind w:left="0" w:right="0"/>
              <w:rPr>
                <w:rFonts w:hint="eastAsia"/>
              </w:rPr>
            </w:pPr>
            <w:r>
              <w:rPr>
                <w:rFonts w:hint="eastAsia"/>
              </w:rPr>
              <w:t>5、来自市场的风险，加强公司内部人员的基础素质，提高专业技能、对于公司内部的机密信息不能外泄，保护好公司的内部人员，防止公司内部人员的流失。</w:t>
            </w:r>
          </w:p>
          <w:p>
            <w:pPr>
              <w:keepNext w:val="0"/>
              <w:keepLines w:val="0"/>
              <w:suppressLineNumbers w:val="0"/>
              <w:spacing w:before="0" w:beforeAutospacing="0" w:after="0" w:afterAutospacing="0"/>
              <w:ind w:left="0" w:right="0"/>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keepNext w:val="0"/>
              <w:keepLines w:val="0"/>
              <w:suppressLineNumbers w:val="0"/>
              <w:spacing w:beforeAutospacing="0" w:afterAutospacing="0"/>
              <w:ind w:left="0" w:right="0"/>
              <w:rPr>
                <w:rFonts w:hint="eastAsia"/>
              </w:rPr>
            </w:pPr>
            <w:r>
              <w:rPr>
                <w:rFonts w:hint="eastAsia"/>
                <w:lang w:eastAsia="zh-CN"/>
              </w:rPr>
              <w:t>查编制有《危险源辨识和风险评价控制程序》（HY-QES-CX-08），综合管理部负责组织对风险因素的评审活动，进行评价，确定不可接受风险因素，制订对风险因素的控制办法。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3412"/>
              <w:gridCol w:w="1133"/>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widowControl/>
                    <w:suppressLineNumbers w:val="0"/>
                    <w:spacing w:before="40" w:beforeAutospacing="0" w:after="0" w:afterAutospacing="0"/>
                    <w:ind w:left="0" w:right="0"/>
                    <w:jc w:val="left"/>
                    <w:rPr>
                      <w:rFonts w:hint="eastAsia"/>
                      <w:color w:val="000000"/>
                      <w:szCs w:val="18"/>
                    </w:rPr>
                  </w:pPr>
                  <w:r>
                    <w:rPr>
                      <w:rFonts w:hint="eastAsia"/>
                      <w:color w:val="000000"/>
                      <w:szCs w:val="18"/>
                    </w:rPr>
                    <w:t>目标</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rPr>
                  </w:pPr>
                  <w:r>
                    <w:rPr>
                      <w:rFonts w:hint="eastAsia"/>
                      <w:color w:val="000000"/>
                      <w:szCs w:val="18"/>
                    </w:rPr>
                    <w:t>计算方法</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rPr>
                  </w:pPr>
                  <w:r>
                    <w:rPr>
                      <w:rFonts w:hint="eastAsia"/>
                      <w:color w:val="000000"/>
                      <w:szCs w:val="18"/>
                    </w:rPr>
                    <w:t>考核频次</w:t>
                  </w:r>
                </w:p>
              </w:tc>
              <w:tc>
                <w:tcPr>
                  <w:tcW w:w="0" w:type="auto"/>
                </w:tcPr>
                <w:p>
                  <w:pPr>
                    <w:keepNext w:val="0"/>
                    <w:keepLines w:val="0"/>
                    <w:widowControl/>
                    <w:suppressLineNumbers w:val="0"/>
                    <w:spacing w:before="40" w:beforeAutospacing="0" w:after="0" w:afterAutospacing="0"/>
                    <w:ind w:left="0" w:right="0"/>
                    <w:jc w:val="left"/>
                    <w:rPr>
                      <w:rFonts w:hint="eastAsia" w:eastAsia="宋体"/>
                      <w:color w:val="000000"/>
                      <w:szCs w:val="18"/>
                      <w:lang w:eastAsia="zh-CN"/>
                    </w:rPr>
                  </w:pPr>
                  <w:r>
                    <w:rPr>
                      <w:rFonts w:hint="eastAsia"/>
                      <w:color w:val="000000"/>
                      <w:szCs w:val="18"/>
                    </w:rPr>
                    <w:t>完成情况</w:t>
                  </w:r>
                  <w:r>
                    <w:rPr>
                      <w:rFonts w:hint="eastAsia"/>
                      <w:color w:val="000000"/>
                      <w:szCs w:val="18"/>
                      <w:lang w:eastAsia="zh-CN"/>
                    </w:rPr>
                    <w:t>（</w:t>
                  </w:r>
                  <w:r>
                    <w:rPr>
                      <w:rFonts w:hint="eastAsia"/>
                      <w:color w:val="000000"/>
                      <w:szCs w:val="18"/>
                      <w:lang w:val="en-US" w:eastAsia="zh-CN"/>
                    </w:rPr>
                    <w:t>审核周期</w:t>
                  </w:r>
                  <w:r>
                    <w:rPr>
                      <w:rFonts w:hint="eastAsia"/>
                      <w:color w:val="00000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 xml:space="preserve">合同履约率100% </w:t>
                  </w:r>
                </w:p>
              </w:tc>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调试合格次数/调试次格*100%</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ascii="宋体" w:hAnsi="宋体"/>
                      <w:sz w:val="18"/>
                      <w:szCs w:val="18"/>
                    </w:rPr>
                    <w:t>1次/每季度</w:t>
                  </w:r>
                </w:p>
              </w:tc>
              <w:tc>
                <w:tcPr>
                  <w:tcW w:w="0" w:type="auto"/>
                </w:tcPr>
                <w:p>
                  <w:pPr>
                    <w:keepNext w:val="0"/>
                    <w:keepLines w:val="0"/>
                    <w:widowControl/>
                    <w:suppressLineNumbers w:val="0"/>
                    <w:spacing w:before="40" w:beforeAutospacing="0" w:after="0" w:afterAutospacing="0"/>
                    <w:ind w:left="0" w:right="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 xml:space="preserve">顾客满意度≥95% </w:t>
                  </w:r>
                </w:p>
              </w:tc>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 xml:space="preserve">每年由综合部调查后得出统计结论 </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ascii="宋体" w:hAnsi="宋体"/>
                      <w:sz w:val="18"/>
                      <w:szCs w:val="18"/>
                    </w:rPr>
                    <w:t>1次/每季度</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ascii="宋体" w:hAnsi="宋体"/>
                      <w:sz w:val="18"/>
                      <w:szCs w:val="18"/>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火灾事故</w:t>
                  </w:r>
                </w:p>
              </w:tc>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统计火灾发生次数</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ascii="宋体" w:hAnsi="宋体"/>
                      <w:sz w:val="18"/>
                      <w:szCs w:val="18"/>
                    </w:rPr>
                    <w:t>1次/每季度</w:t>
                  </w:r>
                </w:p>
              </w:tc>
              <w:tc>
                <w:tcPr>
                  <w:tcW w:w="0" w:type="auto"/>
                </w:tcPr>
                <w:p>
                  <w:pPr>
                    <w:keepNext w:val="0"/>
                    <w:keepLines w:val="0"/>
                    <w:widowControl/>
                    <w:suppressLineNumbers w:val="0"/>
                    <w:spacing w:before="40" w:beforeAutospacing="0" w:after="0" w:afterAutospacing="0"/>
                    <w:ind w:left="0" w:right="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固废分类处理率</w:t>
                  </w:r>
                </w:p>
              </w:tc>
              <w:tc>
                <w:tcPr>
                  <w:tcW w:w="0" w:type="auto"/>
                  <w:vAlign w:val="center"/>
                </w:tcPr>
                <w:p>
                  <w:pPr>
                    <w:keepNext w:val="0"/>
                    <w:keepLines w:val="0"/>
                    <w:suppressLineNumbers w:val="0"/>
                    <w:spacing w:before="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固废处理数量/固废总数*100%</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ascii="宋体" w:hAnsi="宋体"/>
                      <w:sz w:val="18"/>
                      <w:szCs w:val="18"/>
                    </w:rPr>
                    <w:t>1次/每季度</w:t>
                  </w:r>
                </w:p>
              </w:tc>
              <w:tc>
                <w:tcPr>
                  <w:tcW w:w="0" w:type="auto"/>
                </w:tcPr>
                <w:p>
                  <w:pPr>
                    <w:keepNext w:val="0"/>
                    <w:keepLines w:val="0"/>
                    <w:widowControl/>
                    <w:suppressLineNumbers w:val="0"/>
                    <w:spacing w:before="40" w:beforeAutospacing="0" w:after="0" w:afterAutospacing="0"/>
                    <w:ind w:left="0" w:right="0"/>
                    <w:jc w:val="left"/>
                    <w:rPr>
                      <w:rFonts w:hint="default" w:eastAsia="宋体"/>
                      <w:color w:val="000000"/>
                      <w:szCs w:val="18"/>
                      <w:highlight w:val="cyan"/>
                      <w:lang w:val="en-US" w:eastAsia="zh-CN"/>
                    </w:rPr>
                  </w:pPr>
                  <w:r>
                    <w:rPr>
                      <w:rFonts w:hint="eastAsia"/>
                      <w:color w:val="000000"/>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rPr>
                    <w:t>人身伤害</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ascii="宋体" w:hAnsi="宋体" w:cs="宋体"/>
                      <w:color w:val="000000"/>
                      <w:sz w:val="22"/>
                      <w:szCs w:val="22"/>
                    </w:rPr>
                    <w:t>统计人身伤害人数</w:t>
                  </w: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r>
                    <w:rPr>
                      <w:rFonts w:hint="eastAsia" w:ascii="宋体" w:hAnsi="宋体"/>
                      <w:sz w:val="18"/>
                      <w:szCs w:val="18"/>
                    </w:rPr>
                    <w:t>1次/每季度</w:t>
                  </w:r>
                </w:p>
              </w:tc>
              <w:tc>
                <w:tcPr>
                  <w:tcW w:w="0" w:type="auto"/>
                </w:tcPr>
                <w:p>
                  <w:pPr>
                    <w:keepNext w:val="0"/>
                    <w:keepLines w:val="0"/>
                    <w:widowControl/>
                    <w:suppressLineNumbers w:val="0"/>
                    <w:spacing w:before="40" w:beforeAutospacing="0" w:after="0" w:afterAutospacing="0"/>
                    <w:ind w:left="0" w:right="0"/>
                    <w:jc w:val="left"/>
                    <w:rPr>
                      <w:rFonts w:hint="eastAsia" w:eastAsia="宋体"/>
                      <w:color w:val="000000"/>
                      <w:szCs w:val="18"/>
                      <w:highlight w:val="cyan"/>
                      <w:lang w:val="en-US" w:eastAsia="zh-CN"/>
                    </w:rPr>
                  </w:pPr>
                  <w:r>
                    <w:rPr>
                      <w:rFonts w:hint="eastAsia"/>
                      <w:color w:val="000000"/>
                      <w:szCs w:val="18"/>
                      <w:highlight w:val="cy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c>
                <w:tcPr>
                  <w:tcW w:w="0" w:type="auto"/>
                </w:tcPr>
                <w:p>
                  <w:pPr>
                    <w:keepNext w:val="0"/>
                    <w:keepLines w:val="0"/>
                    <w:widowControl/>
                    <w:suppressLineNumbers w:val="0"/>
                    <w:spacing w:before="40" w:beforeAutospacing="0" w:after="0" w:afterAutospacing="0"/>
                    <w:ind w:left="0" w:right="0"/>
                    <w:jc w:val="left"/>
                    <w:rPr>
                      <w:rFonts w:hint="eastAsia"/>
                      <w:color w:val="000000"/>
                      <w:szCs w:val="18"/>
                      <w:highlight w:val="cyan"/>
                    </w:rPr>
                  </w:pP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w:t>
            </w:r>
            <w:r>
              <w:rPr>
                <w:rFonts w:hint="eastAsia"/>
                <w:lang w:eastAsia="zh-CN"/>
              </w:rPr>
              <w:t>生产</w:t>
            </w:r>
            <w:r>
              <w:rPr>
                <w:rFonts w:hint="eastAsia"/>
              </w:rPr>
              <w:t>设备有</w:t>
            </w:r>
            <w:r>
              <w:rPr>
                <w:rFonts w:hint="eastAsia"/>
                <w:u w:val="single"/>
                <w:lang w:val="en-US" w:eastAsia="zh-CN"/>
              </w:rPr>
              <w:t>电脑、打印机</w:t>
            </w:r>
            <w:r>
              <w:rPr>
                <w:rFonts w:hint="eastAsia"/>
                <w:u w:val="single"/>
              </w:rPr>
              <w:t xml:space="preserve">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A8"/>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u w:val="single"/>
                <w:lang w:val="en-US" w:eastAsia="zh-CN"/>
              </w:rPr>
              <w:t>无</w:t>
            </w:r>
            <w:r>
              <w:rPr>
                <w:rFonts w:hint="eastAsia"/>
                <w:color w:val="000000" w:themeColor="text1"/>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A8"/>
            </w:r>
            <w:r>
              <w:rPr>
                <w:rFonts w:hint="eastAsia"/>
              </w:rPr>
              <w:t xml:space="preserve">加工工艺 </w:t>
            </w:r>
            <w:r>
              <w:rPr>
                <w:rFonts w:hint="eastAsia"/>
              </w:rPr>
              <w:sym w:font="Wingdings" w:char="00FE"/>
            </w:r>
            <w:r>
              <w:rPr>
                <w:rFonts w:hint="eastAsia"/>
                <w:lang w:val="en-US" w:eastAsia="zh-CN"/>
              </w:rPr>
              <w:t>研发</w:t>
            </w:r>
            <w:r>
              <w:rPr>
                <w:rFonts w:hint="eastAsia"/>
              </w:rPr>
              <w:t xml:space="preserve">经验  </w:t>
            </w:r>
            <w:r>
              <w:rPr>
                <w:rFonts w:hint="eastAsia"/>
              </w:rPr>
              <w:sym w:font="Wingdings" w:char="00A8"/>
            </w:r>
            <w:r>
              <w:rPr>
                <w:rFonts w:hint="eastAsia"/>
              </w:rPr>
              <w:t xml:space="preserve">管理软件  </w:t>
            </w:r>
            <w:r>
              <w:rPr>
                <w:rFonts w:hint="eastAsia"/>
              </w:rPr>
              <w:sym w:font="Wingdings" w:char="00A8"/>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A8"/>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w:t>
            </w:r>
            <w:r>
              <w:rPr>
                <w:rFonts w:hint="eastAsia"/>
                <w:color w:val="000000" w:themeColor="text1"/>
                <w:lang w:eastAsia="zh-CN"/>
              </w:rPr>
              <w:t xml:space="preserve">设计和开发新产品/项目名称：       </w:t>
            </w:r>
            <w:r>
              <w:rPr>
                <w:rFonts w:hint="eastAsia"/>
                <w:color w:val="0000FF"/>
                <w:u w:val="single"/>
              </w:rPr>
              <w:t xml:space="preserve"> </w:t>
            </w:r>
            <w:r>
              <w:rPr>
                <w:rFonts w:hint="eastAsia"/>
                <w:color w:val="0000FF"/>
                <w:u w:val="single"/>
                <w:lang w:val="en-US" w:eastAsia="zh-CN"/>
              </w:rPr>
              <w:t>安徽联动天翼新能源有限公司</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企业负责图纸设计，日常仅需采购办公用品，企业为集团性公司，所需办公用品在集团内网中进行申请，无需自己采购</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lang w:val="en-US" w:eastAsia="zh-CN"/>
                    </w:rPr>
                    <w:t>设计研发</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设计研发报告、法律法规</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color w:val="000000"/>
                <w:u w:val="single"/>
                <w:lang w:val="en-US" w:eastAsia="zh-CN"/>
              </w:rPr>
              <w:t>设计研发</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A8"/>
            </w:r>
            <w:r>
              <w:rPr>
                <w:rFonts w:hint="eastAsia"/>
              </w:rPr>
              <w:t xml:space="preserve">标牌 </w:t>
            </w:r>
            <w:r>
              <w:rPr>
                <w:rFonts w:hint="eastAsia"/>
              </w:rPr>
              <w:sym w:font="Wingdings" w:char="00A8"/>
            </w:r>
            <w:r>
              <w:rPr>
                <w:rFonts w:hint="eastAsia"/>
              </w:rPr>
              <w:t xml:space="preserve">区域 </w:t>
            </w:r>
            <w:r>
              <w:rPr>
                <w:rFonts w:hint="eastAsia"/>
              </w:rPr>
              <w:sym w:font="Wingdings" w:char="00A8"/>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default"/>
                <w:lang w:val="en-US" w:eastAsia="zh-CN"/>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A8"/>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FE"/>
            </w:r>
            <w:r>
              <w:rPr>
                <w:rFonts w:hint="eastAsia"/>
              </w:rPr>
              <w:t>其他</w:t>
            </w:r>
            <w:r>
              <w:rPr>
                <w:rFonts w:hint="eastAsia"/>
                <w:lang w:eastAsia="zh-CN"/>
              </w:rPr>
              <w:t>—</w:t>
            </w:r>
            <w:r>
              <w:rPr>
                <w:rFonts w:hint="eastAsia"/>
                <w:lang w:val="en-US" w:eastAsia="zh-CN"/>
              </w:rPr>
              <w:t>企业设计图纸完成后，经技术交底会研讨，客户确认后进行验收，后期会进行技术指导</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A8"/>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color w:val="000000"/>
                <w:szCs w:val="18"/>
                <w:u w:val="single"/>
              </w:rPr>
              <w:t>202</w:t>
            </w:r>
            <w:r>
              <w:rPr>
                <w:rFonts w:hint="eastAsia"/>
                <w:color w:val="000000"/>
                <w:szCs w:val="18"/>
                <w:u w:val="single"/>
                <w:lang w:val="en-US" w:eastAsia="zh-CN"/>
              </w:rPr>
              <w:t>2</w:t>
            </w:r>
            <w:r>
              <w:rPr>
                <w:rFonts w:hint="eastAsia"/>
                <w:color w:val="000000"/>
                <w:szCs w:val="18"/>
                <w:u w:val="single"/>
              </w:rPr>
              <w:t>年04月1</w:t>
            </w:r>
            <w:r>
              <w:rPr>
                <w:rFonts w:hint="eastAsia"/>
                <w:color w:val="000000"/>
                <w:szCs w:val="18"/>
                <w:u w:val="single"/>
                <w:lang w:val="en-US" w:eastAsia="zh-CN"/>
              </w:rPr>
              <w:t>0</w:t>
            </w:r>
            <w:r>
              <w:rPr>
                <w:rFonts w:hint="eastAsia"/>
                <w:color w:val="000000"/>
                <w:szCs w:val="18"/>
                <w:u w:val="single"/>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w:t>
            </w:r>
            <w:r>
              <w:rPr>
                <w:rFonts w:hint="eastAsia"/>
                <w:color w:val="000000"/>
                <w:szCs w:val="18"/>
                <w:u w:val="single"/>
              </w:rPr>
              <w:t>202</w:t>
            </w:r>
            <w:r>
              <w:rPr>
                <w:rFonts w:hint="eastAsia"/>
                <w:color w:val="000000"/>
                <w:szCs w:val="18"/>
                <w:u w:val="single"/>
                <w:lang w:val="en-US" w:eastAsia="zh-CN"/>
              </w:rPr>
              <w:t>2</w:t>
            </w:r>
            <w:r>
              <w:rPr>
                <w:rFonts w:hint="eastAsia"/>
                <w:color w:val="000000"/>
                <w:szCs w:val="18"/>
                <w:u w:val="single"/>
              </w:rPr>
              <w:t>年04月</w:t>
            </w:r>
            <w:r>
              <w:rPr>
                <w:rFonts w:hint="eastAsia"/>
                <w:color w:val="000000"/>
                <w:szCs w:val="18"/>
                <w:u w:val="single"/>
                <w:lang w:val="en-US" w:eastAsia="zh-CN"/>
              </w:rPr>
              <w:t>2</w:t>
            </w:r>
            <w:r>
              <w:rPr>
                <w:rFonts w:hint="eastAsia"/>
                <w:color w:val="000000"/>
                <w:szCs w:val="18"/>
                <w:u w:val="single"/>
              </w:rPr>
              <w:t>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25"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25"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keepNext w:val="0"/>
                    <w:keepLines w:val="0"/>
                    <w:suppressLineNumbers w:val="0"/>
                    <w:spacing w:before="0" w:beforeAutospacing="0" w:after="0" w:afterAutospacing="0"/>
                    <w:ind w:left="0" w:right="0"/>
                    <w:jc w:val="center"/>
                    <w:rPr>
                      <w:rFonts w:hint="eastAsia"/>
                    </w:rPr>
                  </w:pPr>
                  <w:r>
                    <w:rPr>
                      <w:rFonts w:hint="eastAsia"/>
                    </w:rPr>
                    <w:t>外部议题</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szCs w:val="21"/>
                    </w:rPr>
                    <w:t>法律环境</w:t>
                  </w:r>
                  <w:r>
                    <w:rPr>
                      <w:rFonts w:hint="eastAsia"/>
                    </w:rPr>
                    <w:t xml:space="preserve"> ☑社会☑ 政治法律☑经济环境 ☑市场</w:t>
                  </w:r>
                  <w:r>
                    <w:rPr>
                      <w:rFonts w:hint="eastAsia"/>
                      <w:lang w:val="en-US" w:eastAsia="zh-CN"/>
                    </w:rPr>
                    <w:t>竞争</w:t>
                  </w:r>
                  <w:r>
                    <w:rPr>
                      <w:rFonts w:hint="eastAsia"/>
                    </w:rPr>
                    <w:t xml:space="preserve"> ☑周边自然环境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keepNext w:val="0"/>
                    <w:keepLines w:val="0"/>
                    <w:suppressLineNumbers w:val="0"/>
                    <w:spacing w:before="0" w:beforeAutospacing="0" w:after="0" w:afterAutospacing="0"/>
                    <w:ind w:left="0" w:right="0"/>
                    <w:jc w:val="center"/>
                    <w:rPr>
                      <w:rFonts w:hint="eastAsia"/>
                    </w:rPr>
                  </w:pPr>
                  <w:r>
                    <w:rPr>
                      <w:rFonts w:hint="eastAsia"/>
                    </w:rPr>
                    <w:t>内部议题</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☑财务资源 ☑人员能力 ☑企业文化 ☑价值观 ☑知识 ☑绩效  ☑</w:t>
                  </w:r>
                  <w:r>
                    <w:rPr>
                      <w:rFonts w:hint="eastAsia"/>
                      <w:lang w:val="en-US" w:eastAsia="zh-CN"/>
                    </w:rPr>
                    <w:t>运营</w:t>
                  </w:r>
                  <w:r>
                    <w:rPr>
                      <w:rFonts w:hint="eastAsia"/>
                    </w:rPr>
                    <w:t xml:space="preserve">  □其他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404"/>
              <w:gridCol w:w="347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center"/>
                </w:tcPr>
                <w:p>
                  <w:pPr>
                    <w:keepNext w:val="0"/>
                    <w:keepLines w:val="0"/>
                    <w:suppressLineNumbers w:val="0"/>
                    <w:spacing w:before="0" w:beforeAutospacing="0" w:after="0" w:afterAutospacing="0"/>
                    <w:ind w:left="0" w:right="0"/>
                    <w:jc w:val="both"/>
                    <w:rPr>
                      <w:rFonts w:hint="default" w:eastAsia="宋体"/>
                      <w:color w:val="000000" w:themeColor="text1"/>
                      <w:lang w:val="en-US" w:eastAsia="zh-CN"/>
                    </w:rPr>
                  </w:pPr>
                  <w:r>
                    <w:rPr>
                      <w:rFonts w:hint="default" w:ascii="Times New Roman" w:hAnsi="Times New Roman" w:eastAsia="宋体" w:cs="Times New Roman"/>
                      <w:color w:val="000000" w:themeColor="text1"/>
                      <w:szCs w:val="22"/>
                      <w:lang w:val="en-US" w:eastAsia="zh-CN"/>
                    </w:rPr>
                    <w:t>滁州电业局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lang w:val="en-US"/>
                    </w:rPr>
                  </w:pPr>
                  <w:r>
                    <w:rPr>
                      <w:rFonts w:hint="eastAsia"/>
                      <w:vertAlign w:val="baseline"/>
                      <w:lang w:val="en-US" w:eastAsia="zh-CN"/>
                    </w:rPr>
                    <w:t xml:space="preserve"> </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lang w:val="en-US"/>
                    </w:rPr>
                  </w:pPr>
                  <w:r>
                    <w:rPr>
                      <w:rFonts w:hint="eastAsia"/>
                      <w:lang w:val="en-US" w:eastAsia="zh-CN"/>
                    </w:rPr>
                    <w:t>国网安徽省电力有限公司滁州供电公司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52"/>
            </w:r>
            <w:r>
              <w:rPr>
                <w:rFonts w:hint="eastAsia"/>
              </w:rPr>
              <w:t xml:space="preserve">设计和开发 </w:t>
            </w:r>
            <w:r>
              <w:rPr>
                <w:rFonts w:hint="eastAsia"/>
                <w:lang w:eastAsia="zh-CN"/>
              </w:rPr>
              <w:t>□</w:t>
            </w:r>
            <w:r>
              <w:rPr>
                <w:rFonts w:hint="eastAsia"/>
              </w:rPr>
              <w:t xml:space="preserve">采购 ☑人力资源☑营销和市场  </w:t>
            </w:r>
            <w:r>
              <w:rPr>
                <w:rFonts w:hint="eastAsia"/>
                <w:lang w:eastAsia="zh-CN"/>
              </w:rPr>
              <w:t>□</w:t>
            </w:r>
            <w:r>
              <w:rPr>
                <w:rFonts w:hint="eastAsia"/>
              </w:rPr>
              <w:t xml:space="preserve">生产 ☑检验 </w:t>
            </w:r>
            <w:r>
              <w:rPr>
                <w:rFonts w:hint="eastAsia"/>
                <w:lang w:eastAsia="zh-CN"/>
              </w:rPr>
              <w:t>□</w:t>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w:t>
            </w:r>
            <w:r>
              <w:rPr>
                <w:rFonts w:hint="eastAsia"/>
              </w:rPr>
              <w:sym w:font="Wingdings 2" w:char="0052"/>
            </w:r>
            <w:r>
              <w:rPr>
                <w:rFonts w:hint="eastAsia"/>
              </w:rPr>
              <w:t xml:space="preserve">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lang w:eastAsia="zh-CN"/>
              </w:rPr>
            </w:pPr>
            <w:r>
              <w:rPr>
                <w:rFonts w:hint="eastAsia"/>
              </w:rPr>
              <w:t>最高管理者制定了文件化的管理体系方针：</w:t>
            </w:r>
          </w:p>
          <w:p>
            <w:pPr>
              <w:keepNext w:val="0"/>
              <w:keepLines w:val="0"/>
              <w:suppressLineNumbers w:val="0"/>
              <w:spacing w:before="0" w:beforeAutospacing="0" w:after="0" w:afterAutospacing="0"/>
              <w:ind w:left="0" w:right="0"/>
              <w:rPr>
                <w:rFonts w:hint="eastAsia"/>
                <w:u w:val="single"/>
              </w:rPr>
            </w:pPr>
            <w:r>
              <w:rPr>
                <w:rFonts w:hint="eastAsia"/>
                <w:u w:val="single"/>
                <w:lang w:val="en-US" w:eastAsia="zh-CN"/>
              </w:rPr>
              <w:t>精心设计、尽心服务、持续改进、顾客满意、环境和谐 、安全健康 、 预防为主、 诚信守法、  持续改进。</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综合部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查制定有《</w:t>
            </w:r>
            <w:r>
              <w:rPr>
                <w:rFonts w:hint="eastAsia"/>
              </w:rPr>
              <w:t>风险和机遇的应对措施控制程序</w:t>
            </w:r>
            <w:r>
              <w:rPr>
                <w:rFonts w:hint="eastAsia"/>
                <w:lang w:eastAsia="zh-CN"/>
              </w:rPr>
              <w:t>》（</w:t>
            </w:r>
            <w:r>
              <w:rPr>
                <w:rFonts w:hint="eastAsia"/>
              </w:rPr>
              <w:t>HY-QES-CX-23</w:t>
            </w:r>
            <w:r>
              <w:rPr>
                <w:rFonts w:hint="eastAsia"/>
                <w:lang w:eastAsia="zh-CN"/>
              </w:rPr>
              <w:t>），</w:t>
            </w:r>
            <w:r>
              <w:rPr>
                <w:rFonts w:hint="eastAsia"/>
                <w:lang w:val="en-US" w:eastAsia="zh-CN"/>
              </w:rPr>
              <w:t>提供有《风险与机遇评价与应对策划表》，</w:t>
            </w:r>
          </w:p>
          <w:p>
            <w:pPr>
              <w:keepNext w:val="0"/>
              <w:keepLines w:val="0"/>
              <w:suppressLineNumbers w:val="0"/>
              <w:spacing w:before="0" w:beforeAutospacing="0" w:after="0" w:afterAutospacing="0"/>
              <w:ind w:left="0" w:right="0"/>
              <w:rPr>
                <w:rFonts w:hint="eastAsia"/>
              </w:rPr>
            </w:pPr>
            <w:r>
              <w:rPr>
                <w:rFonts w:hint="eastAsia"/>
              </w:rPr>
              <w:t>企业识别了如下分析：</w:t>
            </w:r>
          </w:p>
          <w:p>
            <w:pPr>
              <w:keepNext w:val="0"/>
              <w:keepLines w:val="0"/>
              <w:suppressLineNumbers w:val="0"/>
              <w:spacing w:before="0" w:beforeAutospacing="0" w:after="0" w:afterAutospacing="0"/>
              <w:ind w:left="0" w:right="0"/>
              <w:rPr>
                <w:rFonts w:hint="eastAsia"/>
              </w:rPr>
            </w:pPr>
            <w:r>
              <w:rPr>
                <w:rFonts w:hint="eastAsia"/>
              </w:rPr>
              <w:t>1、政策风险：有产业和政策调整的风险较小。但为了防止未来有可能发生改变的政策，企业拟在其它类型的工作业务扩大做准备。</w:t>
            </w:r>
          </w:p>
          <w:p>
            <w:pPr>
              <w:keepNext w:val="0"/>
              <w:keepLines w:val="0"/>
              <w:suppressLineNumbers w:val="0"/>
              <w:spacing w:before="0" w:beforeAutospacing="0" w:after="0" w:afterAutospacing="0"/>
              <w:ind w:left="0" w:right="0"/>
              <w:rPr>
                <w:rFonts w:hint="eastAsia"/>
              </w:rPr>
            </w:pPr>
            <w:r>
              <w:rPr>
                <w:rFonts w:hint="eastAsia"/>
              </w:rPr>
              <w:t>2、资金风险：产品及人工成本不断提高，是对资金风险的考验，但不会是关键风险。</w:t>
            </w:r>
          </w:p>
          <w:p>
            <w:pPr>
              <w:keepNext w:val="0"/>
              <w:keepLines w:val="0"/>
              <w:suppressLineNumbers w:val="0"/>
              <w:spacing w:before="0" w:beforeAutospacing="0" w:after="0" w:afterAutospacing="0"/>
              <w:ind w:left="0" w:right="0"/>
              <w:rPr>
                <w:rFonts w:hint="eastAsia"/>
              </w:rPr>
            </w:pPr>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pPr>
              <w:keepNext w:val="0"/>
              <w:keepLines w:val="0"/>
              <w:suppressLineNumbers w:val="0"/>
              <w:spacing w:before="0" w:beforeAutospacing="0" w:after="0" w:afterAutospacing="0"/>
              <w:ind w:left="0" w:right="0"/>
              <w:rPr>
                <w:rFonts w:hint="eastAsia"/>
              </w:rPr>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hint="eastAsia"/>
                <w:lang w:eastAsia="zh-CN"/>
              </w:rPr>
              <w:t>综合管理部</w:t>
            </w:r>
            <w:r>
              <w:rPr>
                <w:rFonts w:hint="eastAsia"/>
              </w:rPr>
              <w:t>负责管理人员的登记造册、技能培训、人员招聘等，并加大培训力度多方储备人才，防止因人员的流失而造成工作的停滞，造成损失。</w:t>
            </w:r>
          </w:p>
          <w:p>
            <w:pPr>
              <w:keepNext w:val="0"/>
              <w:keepLines w:val="0"/>
              <w:suppressLineNumbers w:val="0"/>
              <w:spacing w:before="0" w:beforeAutospacing="0" w:after="0" w:afterAutospacing="0"/>
              <w:ind w:left="0" w:right="0"/>
              <w:rPr>
                <w:rFonts w:hint="eastAsia"/>
              </w:rPr>
            </w:pPr>
            <w:r>
              <w:rPr>
                <w:rFonts w:hint="eastAsia"/>
              </w:rPr>
              <w:t>5、来自市场的风险，加强公司内部人员的基础素质，提高专业技能、对于公司内部的机密信息不能外泄，保护好公司的内部人员，防止公司内部人员的流失。</w:t>
            </w:r>
          </w:p>
          <w:p>
            <w:pPr>
              <w:keepNext w:val="0"/>
              <w:keepLines w:val="0"/>
              <w:suppressLineNumbers w:val="0"/>
              <w:spacing w:before="0" w:beforeAutospacing="0" w:after="0" w:afterAutospacing="0"/>
              <w:ind w:left="0" w:right="0"/>
              <w:rPr>
                <w:rFonts w:hint="eastAsia"/>
              </w:rPr>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lang w:val="en-US" w:eastAsia="zh-CN" w:bidi="ar-SA"/>
              </w:rPr>
            </w:pPr>
            <w:r>
              <w:rPr>
                <w:rFonts w:hint="eastAsia"/>
                <w:lang w:eastAsia="zh-CN"/>
              </w:rPr>
              <w:t>查编制有《危险源辨识和风险评价控制程序》（HY-QES-CX-08），综合管理部负责组织对风险因素的评审活动，进行评价，确定不可接受风险因素，制订对风险因素的控制办法。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 xml:space="preserve">☑能源消耗  ☑资源消耗 ☑废水排放  □废气排放 </w:t>
            </w:r>
            <w:r>
              <w:rPr>
                <w:rFonts w:hint="eastAsia"/>
              </w:rPr>
              <w:sym w:font="Wingdings 2" w:char="00A3"/>
            </w:r>
            <w:r>
              <w:rPr>
                <w:rFonts w:hint="eastAsia"/>
              </w:rPr>
              <w:t xml:space="preserve">粉尘排放  □危废排放 </w:t>
            </w:r>
            <w:r>
              <w:rPr>
                <w:rFonts w:hint="eastAsia"/>
                <w:lang w:eastAsia="zh-CN"/>
              </w:rPr>
              <w:t>□</w:t>
            </w:r>
            <w:r>
              <w:rPr>
                <w:rFonts w:hint="eastAsia"/>
              </w:rPr>
              <w:t>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445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eastAsia="zh-CN"/>
                    </w:rPr>
                    <w:t>目标</w:t>
                  </w:r>
                </w:p>
              </w:tc>
              <w:tc>
                <w:tcPr>
                  <w:tcW w:w="4455"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eastAsia="zh-CN"/>
                    </w:rPr>
                    <w:t>计算方法</w:t>
                  </w:r>
                </w:p>
              </w:tc>
              <w:tc>
                <w:tcPr>
                  <w:tcW w:w="1518"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固体废弃物分类回收，100%合理处置</w:t>
                  </w:r>
                </w:p>
              </w:tc>
              <w:tc>
                <w:tcPr>
                  <w:tcW w:w="445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分类次数/总处理次数×100%</w:t>
                  </w:r>
                </w:p>
              </w:tc>
              <w:tc>
                <w:tcPr>
                  <w:tcW w:w="15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1"/>
                      <w:szCs w:val="21"/>
                    </w:rPr>
                  </w:pPr>
                  <w:r>
                    <w:rPr>
                      <w:rFonts w:hint="eastAsia" w:ascii="宋体" w:hAnsi="宋体" w:eastAsia="宋体" w:cs="宋体"/>
                      <w:i w:val="0"/>
                      <w:iCs w:val="0"/>
                      <w:color w:val="auto"/>
                      <w:kern w:val="0"/>
                      <w:sz w:val="21"/>
                      <w:szCs w:val="21"/>
                      <w:u w:val="none"/>
                      <w:lang w:val="en-US" w:eastAsia="zh-CN" w:bidi="ar"/>
                    </w:rPr>
                    <w:t>火灾事故为0</w:t>
                  </w:r>
                </w:p>
              </w:tc>
              <w:tc>
                <w:tcPr>
                  <w:tcW w:w="445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1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u w:val="single"/>
                <w:lang w:val="en-US" w:eastAsia="zh-CN"/>
              </w:rPr>
              <w:t>电脑、打印机</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w:t>
            </w:r>
            <w:r>
              <w:rPr>
                <w:rFonts w:hint="eastAsia"/>
                <w:lang w:eastAsia="zh-CN"/>
              </w:rPr>
              <w:t>设计和开发新产品/项目名称：</w:t>
            </w:r>
            <w:r>
              <w:rPr>
                <w:rFonts w:hint="eastAsia"/>
                <w:u w:val="single"/>
              </w:rPr>
              <w:t xml:space="preserve">  </w:t>
            </w:r>
            <w:r>
              <w:rPr>
                <w:rFonts w:hint="eastAsia"/>
                <w:u w:val="single"/>
                <w:lang w:val="en-US" w:eastAsia="zh-CN"/>
              </w:rPr>
              <w:t>安徽联动天翼新能源有限公司</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A8"/>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A8"/>
            </w:r>
            <w:r>
              <w:rPr>
                <w:rFonts w:hint="eastAsia"/>
              </w:rPr>
              <w:t xml:space="preserve">约定 </w:t>
            </w:r>
            <w:r>
              <w:rPr>
                <w:rFonts w:hint="eastAsia"/>
              </w:rPr>
              <w:sym w:font="Wingdings" w:char="00A8"/>
            </w:r>
            <w:r>
              <w:rPr>
                <w:rFonts w:hint="eastAsia"/>
              </w:rPr>
              <w:t xml:space="preserve">危害告知  </w:t>
            </w:r>
            <w:r>
              <w:rPr>
                <w:rFonts w:hint="eastAsia"/>
              </w:rPr>
              <w:sym w:font="Wingdings" w:char="00A8"/>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w:t>
            </w:r>
            <w:r>
              <w:rPr>
                <w:rFonts w:hint="eastAsia"/>
                <w:u w:val="single"/>
                <w:lang w:val="en-US" w:eastAsia="zh-CN"/>
              </w:rPr>
              <w:t>2</w:t>
            </w:r>
            <w:r>
              <w:rPr>
                <w:rFonts w:hint="eastAsia"/>
                <w:u w:val="single"/>
                <w:lang w:eastAsia="zh-CN"/>
              </w:rPr>
              <w:t>年3月</w:t>
            </w:r>
            <w:r>
              <w:rPr>
                <w:rFonts w:hint="eastAsia"/>
                <w:u w:val="single"/>
                <w:lang w:val="en-US" w:eastAsia="zh-CN"/>
              </w:rPr>
              <w:t>2</w:t>
            </w:r>
            <w:r>
              <w:rPr>
                <w:rFonts w:hint="eastAsia"/>
                <w:u w:val="single"/>
                <w:lang w:eastAsia="zh-CN"/>
              </w:rPr>
              <w:t xml:space="preserve">5日   </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25"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sz w:val="24"/>
                <w:szCs w:val="24"/>
                <w:lang w:eastAsia="zh-CN"/>
              </w:rPr>
              <w:t>202</w:t>
            </w:r>
            <w:r>
              <w:rPr>
                <w:rFonts w:hint="eastAsia"/>
                <w:sz w:val="24"/>
                <w:szCs w:val="24"/>
                <w:lang w:val="en-US" w:eastAsia="zh-CN"/>
              </w:rPr>
              <w:t>2</w:t>
            </w:r>
            <w:r>
              <w:rPr>
                <w:rFonts w:hint="eastAsia"/>
                <w:sz w:val="24"/>
                <w:szCs w:val="24"/>
                <w:lang w:eastAsia="zh-CN"/>
              </w:rPr>
              <w:t xml:space="preserve">年1月2日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u w:val="single"/>
              </w:rPr>
              <w:t>202</w:t>
            </w:r>
            <w:r>
              <w:rPr>
                <w:rFonts w:hint="eastAsia"/>
                <w:color w:val="000000"/>
                <w:szCs w:val="21"/>
                <w:u w:val="single"/>
                <w:lang w:val="en-US" w:eastAsia="zh-CN"/>
              </w:rPr>
              <w:t>2</w:t>
            </w:r>
            <w:r>
              <w:rPr>
                <w:rFonts w:hint="eastAsia"/>
                <w:color w:val="000000"/>
                <w:szCs w:val="21"/>
                <w:u w:val="single"/>
              </w:rPr>
              <w:t>年0</w:t>
            </w:r>
            <w:r>
              <w:rPr>
                <w:rFonts w:hint="eastAsia"/>
                <w:color w:val="000000"/>
                <w:szCs w:val="21"/>
                <w:u w:val="single"/>
                <w:lang w:val="en-US" w:eastAsia="zh-CN"/>
              </w:rPr>
              <w:t>4</w:t>
            </w:r>
            <w:r>
              <w:rPr>
                <w:rFonts w:hint="eastAsia"/>
                <w:color w:val="000000"/>
                <w:szCs w:val="21"/>
                <w:u w:val="single"/>
              </w:rPr>
              <w:t>月</w:t>
            </w:r>
            <w:r>
              <w:rPr>
                <w:rFonts w:hint="eastAsia"/>
                <w:color w:val="000000"/>
                <w:szCs w:val="21"/>
                <w:u w:val="single"/>
                <w:lang w:val="en-US" w:eastAsia="zh-CN"/>
              </w:rPr>
              <w:t>10</w:t>
            </w:r>
            <w:r>
              <w:rPr>
                <w:rFonts w:hint="eastAsia"/>
                <w:color w:val="000000"/>
                <w:szCs w:val="21"/>
                <w:u w:val="single"/>
              </w:rPr>
              <w:t>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u w:val="single"/>
                <w:lang w:val="en-US" w:eastAsia="zh-CN"/>
              </w:rPr>
              <w:t>2022年04月25日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keepNext w:val="0"/>
                    <w:keepLines w:val="0"/>
                    <w:suppressLineNumbers w:val="0"/>
                    <w:spacing w:before="0" w:beforeAutospacing="0" w:after="0" w:afterAutospacing="0"/>
                    <w:ind w:left="0" w:right="0"/>
                    <w:jc w:val="center"/>
                    <w:rPr>
                      <w:rFonts w:hint="eastAsia"/>
                    </w:rPr>
                  </w:pPr>
                  <w:r>
                    <w:rPr>
                      <w:rFonts w:hint="eastAsia"/>
                    </w:rPr>
                    <w:t>外部议题</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w:t>
                  </w:r>
                  <w:r>
                    <w:rPr>
                      <w:rFonts w:hint="eastAsia" w:ascii="宋体" w:hAnsi="宋体"/>
                      <w:szCs w:val="21"/>
                    </w:rPr>
                    <w:t>法律环境</w:t>
                  </w:r>
                  <w:r>
                    <w:rPr>
                      <w:rFonts w:hint="eastAsia"/>
                    </w:rPr>
                    <w:t xml:space="preserve"> ☑社会☑ 政治法律☑经济环境 ☑市场</w:t>
                  </w:r>
                  <w:r>
                    <w:rPr>
                      <w:rFonts w:hint="eastAsia"/>
                      <w:lang w:val="en-US" w:eastAsia="zh-CN"/>
                    </w:rPr>
                    <w:t>竞争</w:t>
                  </w:r>
                  <w:r>
                    <w:rPr>
                      <w:rFonts w:hint="eastAsia"/>
                    </w:rPr>
                    <w:t xml:space="preserve"> ☑周边自然环境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keepNext w:val="0"/>
                    <w:keepLines w:val="0"/>
                    <w:suppressLineNumbers w:val="0"/>
                    <w:spacing w:before="0" w:beforeAutospacing="0" w:after="0" w:afterAutospacing="0"/>
                    <w:ind w:left="0" w:right="0"/>
                    <w:jc w:val="center"/>
                    <w:rPr>
                      <w:rFonts w:hint="eastAsia"/>
                    </w:rPr>
                  </w:pPr>
                  <w:r>
                    <w:rPr>
                      <w:rFonts w:hint="eastAsia"/>
                    </w:rPr>
                    <w:t>内部议题</w:t>
                  </w:r>
                </w:p>
              </w:tc>
              <w:tc>
                <w:tcPr>
                  <w:tcW w:w="7375" w:type="dxa"/>
                  <w:vAlign w:val="top"/>
                </w:tcPr>
                <w:p>
                  <w:pPr>
                    <w:keepNext w:val="0"/>
                    <w:keepLines w:val="0"/>
                    <w:suppressLineNumbers w:val="0"/>
                    <w:spacing w:before="0" w:beforeAutospacing="0" w:after="0" w:afterAutospacing="0"/>
                    <w:ind w:left="0" w:right="0"/>
                    <w:rPr>
                      <w:rFonts w:hint="eastAsia"/>
                    </w:rPr>
                  </w:pPr>
                  <w:r>
                    <w:rPr>
                      <w:rFonts w:hint="eastAsia"/>
                    </w:rPr>
                    <w:t>☑财务资源 ☑人员能力 ☑企业文化 ☑价值观 ☑知识 ☑绩效  ☑</w:t>
                  </w:r>
                  <w:r>
                    <w:rPr>
                      <w:rFonts w:hint="eastAsia"/>
                      <w:lang w:val="en-US" w:eastAsia="zh-CN"/>
                    </w:rPr>
                    <w:t>运营</w:t>
                  </w:r>
                  <w:r>
                    <w:rPr>
                      <w:rFonts w:hint="eastAsia"/>
                    </w:rPr>
                    <w:t xml:space="preserve">  □其他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1"/>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2463"/>
              <w:gridCol w:w="356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2495"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相关方名称举例</w:t>
                  </w:r>
                </w:p>
              </w:tc>
              <w:tc>
                <w:tcPr>
                  <w:tcW w:w="3611"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2495" w:type="dxa"/>
                  <w:vAlign w:val="center"/>
                </w:tcPr>
                <w:p>
                  <w:pPr>
                    <w:keepNext w:val="0"/>
                    <w:keepLines w:val="0"/>
                    <w:suppressLineNumbers w:val="0"/>
                    <w:spacing w:before="0" w:beforeAutospacing="0" w:after="0" w:afterAutospacing="0"/>
                    <w:ind w:left="0" w:right="0"/>
                    <w:jc w:val="both"/>
                    <w:rPr>
                      <w:rFonts w:hint="default" w:eastAsia="宋体"/>
                      <w:color w:val="000000" w:themeColor="text1"/>
                      <w:lang w:val="en-US" w:eastAsia="zh-CN"/>
                    </w:rPr>
                  </w:pPr>
                  <w:r>
                    <w:rPr>
                      <w:rFonts w:hint="default" w:ascii="Times New Roman" w:hAnsi="Times New Roman" w:eastAsia="宋体" w:cs="Times New Roman"/>
                      <w:color w:val="000000" w:themeColor="text1"/>
                      <w:szCs w:val="22"/>
                      <w:lang w:val="en-US" w:eastAsia="zh-CN"/>
                    </w:rPr>
                    <w:t>滁州电业局</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w:t>
                  </w:r>
                  <w:r>
                    <w:rPr>
                      <w:rFonts w:hint="eastAsia"/>
                      <w:color w:val="000000" w:themeColor="text1"/>
                      <w:lang w:val="en-US" w:eastAsia="zh-CN"/>
                    </w:rPr>
                    <w:t>职业健康安全</w:t>
                  </w:r>
                  <w:r>
                    <w:rPr>
                      <w:rFonts w:hint="eastAsia"/>
                      <w:color w:val="000000" w:themeColor="text1"/>
                    </w:rPr>
                    <w:t>相关的法律法规</w:t>
                  </w:r>
                </w:p>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lang w:val="en-US"/>
                    </w:rPr>
                  </w:pPr>
                  <w:r>
                    <w:rPr>
                      <w:rFonts w:hint="eastAsia"/>
                      <w:vertAlign w:val="baseline"/>
                      <w:lang w:val="en-US" w:eastAsia="zh-CN"/>
                    </w:rPr>
                    <w:t xml:space="preserve"> </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w:t>
                  </w:r>
                  <w:r>
                    <w:rPr>
                      <w:rFonts w:hint="eastAsia"/>
                      <w:color w:val="000000" w:themeColor="text1"/>
                      <w:lang w:val="en-US" w:eastAsia="zh-CN"/>
                    </w:rPr>
                    <w:t>安全</w:t>
                  </w:r>
                  <w:r>
                    <w:rPr>
                      <w:rFonts w:hint="eastAsia"/>
                      <w:color w:val="000000" w:themeColor="text1"/>
                    </w:rPr>
                    <w:t>要求</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000000" w:themeColor="text1"/>
                      <w:lang w:val="en-US"/>
                    </w:rPr>
                  </w:pPr>
                  <w:r>
                    <w:rPr>
                      <w:rFonts w:hint="eastAsia"/>
                      <w:lang w:val="en-US" w:eastAsia="zh-CN"/>
                    </w:rPr>
                    <w:t>国网安徽省电力有限公司滁州供电公司</w:t>
                  </w:r>
                </w:p>
              </w:tc>
              <w:tc>
                <w:tcPr>
                  <w:tcW w:w="3611"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w:t>
                  </w:r>
                  <w:r>
                    <w:rPr>
                      <w:rFonts w:hint="eastAsia"/>
                      <w:color w:val="000000" w:themeColor="text1"/>
                      <w:lang w:val="en-US" w:eastAsia="zh-CN"/>
                    </w:rPr>
                    <w:t>安全</w:t>
                  </w:r>
                  <w:r>
                    <w:rPr>
                      <w:rFonts w:hint="eastAsia"/>
                      <w:color w:val="000000" w:themeColor="text1"/>
                    </w:rPr>
                    <w:t>问题影响按时按质按量交付产品或服务；</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2495"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szCs w:val="24"/>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w:t>
                  </w:r>
                  <w:r>
                    <w:rPr>
                      <w:rFonts w:hint="eastAsia"/>
                      <w:color w:val="000000" w:themeColor="text1"/>
                      <w:lang w:val="en-US" w:eastAsia="zh-CN"/>
                    </w:rPr>
                    <w:t>安全</w:t>
                  </w:r>
                  <w:r>
                    <w:rPr>
                      <w:rFonts w:hint="eastAsia"/>
                      <w:color w:val="000000" w:themeColor="text1"/>
                    </w:rPr>
                    <w:t>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2495" w:type="dxa"/>
                </w:tcPr>
                <w:p>
                  <w:pPr>
                    <w:keepNext w:val="0"/>
                    <w:keepLines w:val="0"/>
                    <w:suppressLineNumbers w:val="0"/>
                    <w:spacing w:before="0" w:beforeAutospacing="0" w:after="0" w:afterAutospacing="0"/>
                    <w:ind w:left="0" w:right="0"/>
                    <w:rPr>
                      <w:rFonts w:hint="default" w:eastAsia="宋体"/>
                      <w:color w:val="000000" w:themeColor="text1"/>
                      <w:lang w:val="en-US" w:eastAsia="zh-CN"/>
                    </w:rPr>
                  </w:pPr>
                  <w:r>
                    <w:rPr>
                      <w:rFonts w:hint="eastAsia"/>
                      <w:color w:val="000000" w:themeColor="text1"/>
                      <w:lang w:val="en-US" w:eastAsia="zh-CN"/>
                    </w:rPr>
                    <w:t>--</w:t>
                  </w:r>
                </w:p>
              </w:tc>
              <w:tc>
                <w:tcPr>
                  <w:tcW w:w="361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w:t>
                  </w:r>
                  <w:r>
                    <w:rPr>
                      <w:rFonts w:hint="eastAsia"/>
                      <w:color w:val="000000" w:themeColor="text1"/>
                      <w:lang w:val="en-US" w:eastAsia="zh-CN"/>
                    </w:rPr>
                    <w:t>安全</w:t>
                  </w:r>
                  <w:r>
                    <w:rPr>
                      <w:rFonts w:hint="eastAsia"/>
                      <w:color w:val="000000" w:themeColor="text1"/>
                    </w:rPr>
                    <w:t>问题影响周围的环境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2495" w:type="dxa"/>
                </w:tcPr>
                <w:p>
                  <w:pPr>
                    <w:keepNext w:val="0"/>
                    <w:keepLines w:val="0"/>
                    <w:suppressLineNumbers w:val="0"/>
                    <w:spacing w:before="0" w:beforeAutospacing="0" w:after="0" w:afterAutospacing="0"/>
                    <w:ind w:left="0" w:right="0"/>
                    <w:rPr>
                      <w:rFonts w:hint="eastAsia"/>
                      <w:color w:val="000000" w:themeColor="text1"/>
                    </w:rPr>
                  </w:pPr>
                </w:p>
              </w:tc>
              <w:tc>
                <w:tcPr>
                  <w:tcW w:w="3611" w:type="dxa"/>
                </w:tcPr>
                <w:p>
                  <w:pPr>
                    <w:keepNext w:val="0"/>
                    <w:keepLines w:val="0"/>
                    <w:suppressLineNumbers w:val="0"/>
                    <w:spacing w:before="0" w:beforeAutospacing="0" w:after="0" w:afterAutospacing="0"/>
                    <w:ind w:left="0" w:right="0"/>
                    <w:rPr>
                      <w:rFonts w:hint="eastAsia"/>
                      <w:color w:val="000000" w:themeColor="text1"/>
                    </w:rPr>
                  </w:pPr>
                </w:p>
              </w:tc>
              <w:tc>
                <w:tcPr>
                  <w:tcW w:w="132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pageBreakBefore w:val="0"/>
              <w:suppressLineNumbers w:val="0"/>
              <w:kinsoku/>
              <w:overflowPunct/>
              <w:topLinePunct w:val="0"/>
              <w:bidi w:val="0"/>
              <w:spacing w:before="0" w:beforeAutospacing="0" w:after="0" w:afterAutospacing="0" w:line="360" w:lineRule="auto"/>
              <w:ind w:left="0" w:right="0" w:firstLine="480" w:firstLineChars="200"/>
              <w:textAlignment w:val="auto"/>
              <w:rPr>
                <w:rFonts w:hint="eastAsia" w:ascii="宋体" w:hAnsi="宋体" w:eastAsia="宋体" w:cs="宋体"/>
                <w:bCs/>
                <w:color w:val="auto"/>
                <w:spacing w:val="18"/>
                <w:sz w:val="24"/>
                <w:szCs w:val="24"/>
                <w:u w:val="single"/>
              </w:rPr>
            </w:pPr>
            <w:r>
              <w:rPr>
                <w:rFonts w:hint="eastAsia" w:ascii="宋体" w:hAnsi="宋体" w:cs="宋体"/>
                <w:bCs/>
                <w:color w:val="auto"/>
                <w:kern w:val="2"/>
                <w:sz w:val="24"/>
                <w:szCs w:val="24"/>
                <w:u w:val="single"/>
                <w:lang w:val="en-US" w:eastAsia="zh-CN" w:bidi="ar-SA"/>
              </w:rPr>
              <w:t>精心设计、尽心服务、持续改进、顾客满意、环境和谐 、安全健康 、 预防为主、 诚信守法、  持续改进</w:t>
            </w:r>
            <w:r>
              <w:rPr>
                <w:rFonts w:hint="eastAsia" w:ascii="宋体" w:hAnsi="宋体" w:eastAsia="宋体" w:cs="宋体"/>
                <w:bCs/>
                <w:color w:val="auto"/>
                <w:kern w:val="2"/>
                <w:sz w:val="24"/>
                <w:szCs w:val="24"/>
                <w:u w:val="single"/>
                <w:lang w:val="en-US" w:eastAsia="zh-CN" w:bidi="ar-SA"/>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w:t>
            </w:r>
            <w:r>
              <w:rPr>
                <w:rFonts w:hint="eastAsia" w:ascii="宋体" w:hAnsi="宋体"/>
                <w:b/>
                <w:bCs/>
                <w:snapToGrid w:val="0"/>
                <w:kern w:val="0"/>
                <w:sz w:val="24"/>
                <w:u w:val="single"/>
                <w:lang w:val="en-US" w:eastAsia="zh-CN"/>
              </w:rPr>
              <w:t>江晨</w:t>
            </w:r>
            <w:r>
              <w:rPr>
                <w:rFonts w:hint="eastAsia"/>
                <w:u w:val="single"/>
              </w:rPr>
              <w:t xml:space="preserve"> </w:t>
            </w:r>
            <w:r>
              <w:rPr>
                <w:rFonts w:hint="eastAsia"/>
                <w:u w:val="single"/>
                <w:lang w:val="en-US" w:eastAsia="zh-CN"/>
              </w:rPr>
              <w:t xml:space="preserve">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1"/>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keepNext w:val="0"/>
                    <w:keepLines w:val="0"/>
                    <w:suppressLineNumbers w:val="0"/>
                    <w:spacing w:before="0" w:beforeAutospacing="0" w:after="0" w:afterAutospacing="0"/>
                    <w:ind w:left="0" w:right="0"/>
                    <w:jc w:val="center"/>
                    <w:rPr>
                      <w:rFonts w:hint="eastAsia"/>
                    </w:rPr>
                  </w:pPr>
                  <w:r>
                    <w:rPr>
                      <w:rFonts w:hint="eastAsia"/>
                    </w:rPr>
                    <w:t>主要的风险描述</w:t>
                  </w:r>
                </w:p>
              </w:tc>
              <w:tc>
                <w:tcPr>
                  <w:tcW w:w="5139" w:type="dxa"/>
                  <w:vAlign w:val="center"/>
                </w:tcPr>
                <w:p>
                  <w:pPr>
                    <w:keepNext w:val="0"/>
                    <w:keepLines w:val="0"/>
                    <w:suppressLineNumbers w:val="0"/>
                    <w:spacing w:before="0" w:beforeAutospacing="0" w:after="0" w:afterAutospacing="0"/>
                    <w:ind w:left="0" w:right="0"/>
                    <w:jc w:val="center"/>
                    <w:rPr>
                      <w:rFonts w:hint="eastAsia"/>
                      <w:szCs w:val="24"/>
                    </w:rPr>
                  </w:pPr>
                  <w:r>
                    <w:rPr>
                      <w:rFonts w:hint="eastAsia"/>
                    </w:rPr>
                    <w:t>应对措施</w:t>
                  </w:r>
                </w:p>
              </w:tc>
              <w:tc>
                <w:tcPr>
                  <w:tcW w:w="1717" w:type="dxa"/>
                  <w:vAlign w:val="center"/>
                </w:tcPr>
                <w:p>
                  <w:pPr>
                    <w:keepNext w:val="0"/>
                    <w:keepLines w:val="0"/>
                    <w:suppressLineNumbers w:val="0"/>
                    <w:spacing w:before="0" w:beforeAutospacing="0" w:after="0" w:afterAutospacing="0"/>
                    <w:ind w:left="0" w:right="0"/>
                    <w:jc w:val="center"/>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火灾</w:t>
                  </w:r>
                </w:p>
              </w:tc>
              <w:tc>
                <w:tcPr>
                  <w:tcW w:w="5139"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编制管理方案和应急预案，定期演练，加强日常检查</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触电</w:t>
                  </w:r>
                </w:p>
              </w:tc>
              <w:tc>
                <w:tcPr>
                  <w:tcW w:w="5139"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日常检查</w:t>
                  </w:r>
                  <w:r>
                    <w:rPr>
                      <w:rFonts w:hint="eastAsia"/>
                      <w:szCs w:val="22"/>
                      <w:lang w:eastAsia="zh-CN"/>
                    </w:rPr>
                    <w:t>，安全用电</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suppressLineNumbers w:val="0"/>
                    <w:spacing w:before="0" w:beforeAutospacing="0" w:after="0" w:afterAutospacing="0"/>
                    <w:ind w:left="0" w:right="0"/>
                    <w:jc w:val="center"/>
                    <w:rPr>
                      <w:rFonts w:hint="eastAsia"/>
                      <w:szCs w:val="22"/>
                    </w:rPr>
                  </w:pPr>
                  <w:r>
                    <w:rPr>
                      <w:rFonts w:hint="eastAsia"/>
                      <w:szCs w:val="22"/>
                      <w:lang w:val="en-US" w:eastAsia="zh-CN"/>
                    </w:rPr>
                    <w:t>人身</w:t>
                  </w:r>
                  <w:r>
                    <w:rPr>
                      <w:rFonts w:hint="eastAsia"/>
                      <w:szCs w:val="22"/>
                    </w:rPr>
                    <w:t>伤害</w:t>
                  </w:r>
                </w:p>
              </w:tc>
              <w:tc>
                <w:tcPr>
                  <w:tcW w:w="5139" w:type="dxa"/>
                </w:tcPr>
                <w:p>
                  <w:pPr>
                    <w:keepNext w:val="0"/>
                    <w:keepLines w:val="0"/>
                    <w:suppressLineNumbers w:val="0"/>
                    <w:spacing w:before="0" w:beforeAutospacing="0" w:after="0" w:afterAutospacing="0"/>
                    <w:ind w:left="0" w:right="0"/>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4412"/>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ascii="宋体" w:hAnsi="宋体"/>
                      <w:color w:val="auto"/>
                      <w:kern w:val="2"/>
                      <w:szCs w:val="24"/>
                      <w:lang w:eastAsia="zh-CN"/>
                    </w:rPr>
                    <w:t>目标</w:t>
                  </w:r>
                </w:p>
              </w:tc>
              <w:tc>
                <w:tcPr>
                  <w:tcW w:w="4412"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eastAsia="zh-CN"/>
                    </w:rPr>
                    <w:t>计算方法</w:t>
                  </w:r>
                </w:p>
              </w:tc>
              <w:tc>
                <w:tcPr>
                  <w:tcW w:w="1508"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宋体" w:cs="仿宋"/>
                      <w:color w:val="auto"/>
                      <w:sz w:val="21"/>
                      <w:szCs w:val="21"/>
                      <w:lang w:val="en-US" w:eastAsia="zh-CN"/>
                    </w:rPr>
                  </w:pPr>
                  <w:r>
                    <w:rPr>
                      <w:rFonts w:hint="eastAsia" w:ascii="宋体" w:hAnsi="宋体" w:cs="宋体"/>
                      <w:color w:val="000000"/>
                      <w:sz w:val="22"/>
                      <w:szCs w:val="22"/>
                    </w:rPr>
                    <w:t>火灾事故</w:t>
                  </w:r>
                  <w:r>
                    <w:rPr>
                      <w:rFonts w:hint="eastAsia" w:ascii="宋体" w:hAnsi="宋体" w:cs="宋体"/>
                      <w:color w:val="000000"/>
                      <w:sz w:val="22"/>
                      <w:szCs w:val="22"/>
                      <w:lang w:val="en-US" w:eastAsia="zh-CN"/>
                    </w:rPr>
                    <w:t>0</w:t>
                  </w:r>
                </w:p>
              </w:tc>
              <w:tc>
                <w:tcPr>
                  <w:tcW w:w="441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pacing w:val="-6"/>
                      <w:sz w:val="21"/>
                      <w:szCs w:val="21"/>
                      <w:lang w:val="en-US" w:eastAsia="zh-CN"/>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0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dxa"/>
                  <w:shd w:val="clear" w:color="auto" w:fill="auto"/>
                  <w:vAlign w:val="top"/>
                </w:tcPr>
                <w:p>
                  <w:pPr>
                    <w:keepNext w:val="0"/>
                    <w:keepLines w:val="0"/>
                    <w:widowControl/>
                    <w:suppressLineNumbers w:val="0"/>
                    <w:spacing w:before="40" w:beforeAutospacing="0" w:after="0" w:afterAutospacing="0"/>
                    <w:ind w:left="0" w:right="0"/>
                    <w:jc w:val="left"/>
                    <w:rPr>
                      <w:rFonts w:hint="eastAsia" w:eastAsia="宋体"/>
                      <w:color w:val="auto"/>
                      <w:lang w:val="en-US" w:eastAsia="zh-CN"/>
                    </w:rPr>
                  </w:pPr>
                  <w:r>
                    <w:rPr>
                      <w:rFonts w:hint="eastAsia"/>
                    </w:rPr>
                    <w:t>人身伤害</w:t>
                  </w:r>
                  <w:r>
                    <w:rPr>
                      <w:rFonts w:hint="eastAsia"/>
                      <w:lang w:val="en-US" w:eastAsia="zh-CN"/>
                    </w:rPr>
                    <w:t>0</w:t>
                  </w:r>
                </w:p>
              </w:tc>
              <w:tc>
                <w:tcPr>
                  <w:tcW w:w="4412"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2"/>
                      <w:sz w:val="21"/>
                      <w:szCs w:val="24"/>
                      <w:lang w:val="en-US" w:eastAsia="zh-CN" w:bidi="ar-SA"/>
                    </w:rPr>
                  </w:pPr>
                  <w:r>
                    <w:rPr>
                      <w:rFonts w:hint="eastAsia" w:ascii="宋体" w:hAnsi="宋体" w:eastAsia="宋体" w:cs="宋体"/>
                      <w:i w:val="0"/>
                      <w:iCs w:val="0"/>
                      <w:color w:val="auto"/>
                      <w:kern w:val="0"/>
                      <w:sz w:val="21"/>
                      <w:szCs w:val="21"/>
                      <w:u w:val="none"/>
                      <w:lang w:val="en-US" w:eastAsia="zh-CN" w:bidi="ar"/>
                    </w:rPr>
                    <w:t>以实际发生为准进行计数</w:t>
                  </w:r>
                </w:p>
              </w:tc>
              <w:tc>
                <w:tcPr>
                  <w:tcW w:w="150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rPr>
                  </w:pPr>
                  <w:r>
                    <w:rPr>
                      <w:rFonts w:hint="eastAsia" w:ascii="宋体" w:hAnsi="宋体" w:cs="宋体"/>
                      <w:i w:val="0"/>
                      <w:iCs w:val="0"/>
                      <w:color w:val="auto"/>
                      <w:kern w:val="0"/>
                      <w:sz w:val="21"/>
                      <w:szCs w:val="21"/>
                      <w:u w:val="none"/>
                      <w:lang w:val="en-US" w:eastAsia="zh-CN" w:bidi="ar"/>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电脑、打印机</w:t>
            </w:r>
            <w:r>
              <w:rPr>
                <w:rFonts w:hint="eastAsia"/>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A8"/>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A8"/>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u w:val="single"/>
                <w:vertAlign w:val="baseline"/>
                <w:lang w:val="en-US" w:eastAsia="zh-CN"/>
              </w:rPr>
              <w:t xml:space="preserve">       安徽联动天翼新能源有限公司    </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A8"/>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1"/>
              <w:tblpPr w:leftFromText="180" w:rightFromText="180" w:vertAnchor="text" w:horzAnchor="page" w:tblpX="97" w:tblpY="208"/>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513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44" w:type="dxa"/>
                  <w:vAlign w:val="center"/>
                </w:tcPr>
                <w:p>
                  <w:pPr>
                    <w:keepNext w:val="0"/>
                    <w:keepLines w:val="0"/>
                    <w:suppressLineNumbers w:val="0"/>
                    <w:spacing w:before="0" w:beforeAutospacing="0" w:after="0" w:afterAutospacing="0"/>
                    <w:ind w:left="0" w:right="0"/>
                    <w:jc w:val="center"/>
                    <w:rPr>
                      <w:rFonts w:hint="eastAsia"/>
                    </w:rPr>
                  </w:pPr>
                  <w:r>
                    <w:rPr>
                      <w:rFonts w:hint="eastAsia"/>
                    </w:rPr>
                    <w:t>主要的风险描述</w:t>
                  </w:r>
                </w:p>
              </w:tc>
              <w:tc>
                <w:tcPr>
                  <w:tcW w:w="5139" w:type="dxa"/>
                  <w:vAlign w:val="center"/>
                </w:tcPr>
                <w:p>
                  <w:pPr>
                    <w:keepNext w:val="0"/>
                    <w:keepLines w:val="0"/>
                    <w:suppressLineNumbers w:val="0"/>
                    <w:spacing w:before="0" w:beforeAutospacing="0" w:after="0" w:afterAutospacing="0"/>
                    <w:ind w:left="0" w:right="0"/>
                    <w:jc w:val="center"/>
                    <w:rPr>
                      <w:rFonts w:hint="eastAsia"/>
                      <w:szCs w:val="24"/>
                    </w:rPr>
                  </w:pPr>
                  <w:r>
                    <w:rPr>
                      <w:rFonts w:hint="eastAsia"/>
                    </w:rPr>
                    <w:t>应对措施</w:t>
                  </w:r>
                </w:p>
              </w:tc>
              <w:tc>
                <w:tcPr>
                  <w:tcW w:w="1717" w:type="dxa"/>
                  <w:vAlign w:val="center"/>
                </w:tcPr>
                <w:p>
                  <w:pPr>
                    <w:keepNext w:val="0"/>
                    <w:keepLines w:val="0"/>
                    <w:suppressLineNumbers w:val="0"/>
                    <w:spacing w:before="0" w:beforeAutospacing="0" w:after="0" w:afterAutospacing="0"/>
                    <w:ind w:left="0" w:right="0"/>
                    <w:jc w:val="center"/>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火灾</w:t>
                  </w:r>
                </w:p>
              </w:tc>
              <w:tc>
                <w:tcPr>
                  <w:tcW w:w="5139"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编制管理方案和应急预案，定期演练，加强日常检查</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触电</w:t>
                  </w:r>
                </w:p>
              </w:tc>
              <w:tc>
                <w:tcPr>
                  <w:tcW w:w="5139" w:type="dxa"/>
                </w:tcPr>
                <w:p>
                  <w:pPr>
                    <w:keepNext w:val="0"/>
                    <w:keepLines w:val="0"/>
                    <w:suppressLineNumbers w:val="0"/>
                    <w:spacing w:before="0" w:beforeAutospacing="0" w:after="0" w:afterAutospacing="0"/>
                    <w:ind w:left="0" w:right="0"/>
                    <w:jc w:val="center"/>
                    <w:rPr>
                      <w:rFonts w:hint="eastAsia"/>
                      <w:szCs w:val="22"/>
                    </w:rPr>
                  </w:pPr>
                  <w:r>
                    <w:rPr>
                      <w:rFonts w:hint="eastAsia"/>
                      <w:szCs w:val="22"/>
                    </w:rPr>
                    <w:t>日常检查</w:t>
                  </w:r>
                  <w:r>
                    <w:rPr>
                      <w:rFonts w:hint="eastAsia"/>
                      <w:szCs w:val="22"/>
                      <w:lang w:eastAsia="zh-CN"/>
                    </w:rPr>
                    <w:t>，安全用电</w:t>
                  </w:r>
                </w:p>
              </w:tc>
              <w:tc>
                <w:tcPr>
                  <w:tcW w:w="1717" w:type="dxa"/>
                </w:tcPr>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suppressLineNumbers w:val="0"/>
                    <w:spacing w:before="0" w:beforeAutospacing="0" w:after="0" w:afterAutospacing="0"/>
                    <w:ind w:left="0" w:right="0"/>
                    <w:jc w:val="center"/>
                    <w:rPr>
                      <w:rFonts w:hint="eastAsia"/>
                      <w:szCs w:val="22"/>
                    </w:rPr>
                  </w:pPr>
                  <w:r>
                    <w:rPr>
                      <w:rFonts w:hint="eastAsia"/>
                      <w:szCs w:val="22"/>
                      <w:lang w:val="en-US" w:eastAsia="zh-CN"/>
                    </w:rPr>
                    <w:t>人身</w:t>
                  </w:r>
                  <w:r>
                    <w:rPr>
                      <w:rFonts w:hint="eastAsia"/>
                      <w:szCs w:val="22"/>
                    </w:rPr>
                    <w:t>伤害</w:t>
                  </w:r>
                </w:p>
              </w:tc>
              <w:tc>
                <w:tcPr>
                  <w:tcW w:w="5139" w:type="dxa"/>
                </w:tcPr>
                <w:p>
                  <w:pPr>
                    <w:keepNext w:val="0"/>
                    <w:keepLines w:val="0"/>
                    <w:suppressLineNumbers w:val="0"/>
                    <w:spacing w:before="0" w:beforeAutospacing="0" w:after="0" w:afterAutospacing="0"/>
                    <w:ind w:left="0" w:right="0"/>
                    <w:jc w:val="center"/>
                    <w:rPr>
                      <w:rFonts w:hint="eastAsia" w:eastAsia="宋体"/>
                      <w:szCs w:val="22"/>
                      <w:lang w:eastAsia="zh-CN"/>
                    </w:rPr>
                  </w:pPr>
                  <w:r>
                    <w:rPr>
                      <w:rFonts w:hint="eastAsia"/>
                      <w:szCs w:val="22"/>
                      <w:lang w:eastAsia="zh-CN"/>
                    </w:rPr>
                    <w:t>加强防护，人员培训，选用安全性高的设备</w:t>
                  </w:r>
                </w:p>
              </w:tc>
              <w:tc>
                <w:tcPr>
                  <w:tcW w:w="1717"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lang w:val="en-US" w:eastAsia="zh-CN" w:bidi="ar-SA"/>
                    </w:rPr>
                  </w:pPr>
                  <w:r>
                    <w:rPr>
                      <w:rFonts w:hint="eastAsia"/>
                    </w:rPr>
                    <w:sym w:font="Wingdings" w:char="00FE"/>
                  </w:r>
                  <w:r>
                    <w:rPr>
                      <w:rFonts w:hint="eastAsia"/>
                    </w:rPr>
                    <w:t xml:space="preserve">有效 </w:t>
                  </w:r>
                  <w:r>
                    <w:rPr>
                      <w:rFonts w:hint="eastAsia"/>
                    </w:rPr>
                    <w:sym w:font="Wingdings" w:char="00A8"/>
                  </w:r>
                  <w:r>
                    <w:rPr>
                      <w:rFonts w:hint="eastAsia"/>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FE"/>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ascii="宋体" w:hAnsi="宋体" w:cs="宋体"/>
                <w:bCs/>
                <w:szCs w:val="21"/>
              </w:rPr>
              <w:t>202</w:t>
            </w:r>
            <w:r>
              <w:rPr>
                <w:rFonts w:hint="eastAsia" w:ascii="宋体" w:hAnsi="宋体" w:cs="宋体"/>
                <w:bCs/>
                <w:szCs w:val="21"/>
                <w:lang w:val="en-US" w:eastAsia="zh-CN"/>
              </w:rPr>
              <w:t>2</w:t>
            </w:r>
            <w:r>
              <w:rPr>
                <w:rFonts w:hint="eastAsia" w:ascii="宋体" w:hAnsi="宋体" w:cs="宋体"/>
                <w:bCs/>
                <w:szCs w:val="21"/>
              </w:rPr>
              <w:t>年</w:t>
            </w:r>
            <w:r>
              <w:rPr>
                <w:rFonts w:hint="eastAsia" w:ascii="宋体" w:hAnsi="宋体" w:cs="宋体"/>
                <w:bCs/>
                <w:szCs w:val="21"/>
                <w:lang w:val="en-US" w:eastAsia="zh-CN"/>
              </w:rPr>
              <w:t>3</w:t>
            </w:r>
            <w:r>
              <w:rPr>
                <w:rFonts w:hint="eastAsia" w:ascii="宋体" w:hAnsi="宋体" w:cs="宋体"/>
                <w:bCs/>
                <w:szCs w:val="21"/>
              </w:rPr>
              <w:t>月</w:t>
            </w:r>
            <w:r>
              <w:rPr>
                <w:rFonts w:hint="eastAsia" w:ascii="宋体" w:hAnsi="宋体" w:cs="宋体"/>
                <w:bCs/>
                <w:szCs w:val="21"/>
                <w:lang w:val="en-US" w:eastAsia="zh-CN"/>
              </w:rPr>
              <w:t>25</w:t>
            </w:r>
            <w:r>
              <w:rPr>
                <w:rFonts w:hint="eastAsia" w:ascii="宋体" w:hAnsi="宋体" w:cs="宋体"/>
                <w:bCs/>
                <w:szCs w:val="21"/>
              </w:rPr>
              <w:t>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sz w:val="24"/>
                <w:szCs w:val="24"/>
                <w:lang w:eastAsia="zh-CN"/>
              </w:rPr>
              <w:t>202</w:t>
            </w:r>
            <w:r>
              <w:rPr>
                <w:rFonts w:hint="eastAsia"/>
                <w:sz w:val="24"/>
                <w:szCs w:val="24"/>
                <w:lang w:val="en-US" w:eastAsia="zh-CN"/>
              </w:rPr>
              <w:t>2</w:t>
            </w:r>
            <w:r>
              <w:rPr>
                <w:rFonts w:hint="eastAsia"/>
                <w:sz w:val="24"/>
                <w:szCs w:val="24"/>
                <w:lang w:eastAsia="zh-CN"/>
              </w:rPr>
              <w:t xml:space="preserve">年1月2日   </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rPr>
                <w:rFonts w:hint="eastAsia"/>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lang w:val="en-US" w:eastAsia="zh-CN"/>
              </w:rPr>
              <w:t>健康</w:t>
            </w:r>
            <w:r>
              <w:rPr>
                <w:rFonts w:hint="eastAsia"/>
                <w:highlight w:val="none"/>
                <w:vertAlign w:val="baseline"/>
                <w:lang w:val="en-US" w:eastAsia="zh-CN"/>
              </w:rPr>
              <w:t>体检</w:t>
            </w:r>
            <w:r>
              <w:rPr>
                <w:rFonts w:hint="eastAsia"/>
                <w:color w:val="000000"/>
                <w:szCs w:val="18"/>
                <w:highlight w:val="none"/>
              </w:rPr>
              <w:t>报告</w:t>
            </w:r>
            <w:r>
              <w:rPr>
                <w:rFonts w:hint="eastAsia"/>
                <w:color w:val="000000"/>
                <w:szCs w:val="18"/>
                <w:highlight w:val="none"/>
                <w:lang w:eastAsia="zh-CN"/>
              </w:rPr>
              <w:t>》</w:t>
            </w:r>
            <w:r>
              <w:rPr>
                <w:rFonts w:hint="eastAsia"/>
                <w:color w:val="000000"/>
                <w:szCs w:val="18"/>
                <w:highlight w:val="none"/>
                <w:lang w:val="en-US" w:eastAsia="zh-CN"/>
              </w:rPr>
              <w:t>李萌萌：编号：</w:t>
            </w:r>
            <w:r>
              <w:rPr>
                <w:rFonts w:hint="eastAsia"/>
                <w:color w:val="000000"/>
                <w:szCs w:val="18"/>
                <w:highlight w:val="none"/>
                <w:u w:val="single"/>
                <w:lang w:val="en-US" w:eastAsia="zh-CN"/>
              </w:rPr>
              <w:t xml:space="preserve">2110220471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 年12月 07日</w:t>
            </w:r>
          </w:p>
          <w:p>
            <w:pPr>
              <w:pStyle w:val="9"/>
              <w:ind w:left="0" w:leftChars="0" w:firstLine="0" w:firstLineChars="0"/>
              <w:rPr>
                <w:rFonts w:hint="eastAsia"/>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滁州市第一人民医院    </w:t>
            </w:r>
          </w:p>
          <w:p>
            <w:pPr>
              <w:rPr>
                <w:rFonts w:hint="eastAsia"/>
                <w:color w:val="000000"/>
                <w:szCs w:val="18"/>
                <w:highlight w:val="none"/>
                <w:u w:val="single"/>
                <w:lang w:val="en-US" w:eastAsia="zh-CN"/>
              </w:rPr>
            </w:pPr>
            <w:r>
              <w:rPr>
                <w:rFonts w:hint="eastAsia"/>
                <w:color w:val="000000"/>
                <w:szCs w:val="18"/>
                <w:highlight w:val="none"/>
                <w:lang w:val="en-US" w:eastAsia="zh-CN"/>
              </w:rPr>
              <w:t>胡友艺：编号：</w:t>
            </w:r>
            <w:r>
              <w:rPr>
                <w:rFonts w:hint="eastAsia"/>
                <w:color w:val="000000"/>
                <w:szCs w:val="18"/>
                <w:highlight w:val="none"/>
                <w:u w:val="single"/>
                <w:lang w:val="en-US" w:eastAsia="zh-CN"/>
              </w:rPr>
              <w:t xml:space="preserve">2110220498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2021 年12月 07日</w:t>
            </w:r>
          </w:p>
          <w:p>
            <w:pPr>
              <w:pStyle w:val="9"/>
              <w:ind w:left="0" w:leftChars="0" w:firstLine="0" w:firstLineChars="0"/>
              <w:rPr>
                <w:rFonts w:hint="eastAsia"/>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滁州市第一人民医院    </w:t>
            </w:r>
          </w:p>
          <w:p>
            <w:pPr>
              <w:pStyle w:val="9"/>
              <w:keepNext w:val="0"/>
              <w:keepLines w:val="0"/>
              <w:suppressLineNumbers w:val="0"/>
              <w:spacing w:before="0" w:beforeAutospacing="0" w:after="0" w:afterAutospacing="0"/>
              <w:ind w:left="0" w:leftChars="0" w:right="0" w:firstLine="0" w:firstLineChars="0"/>
              <w:rPr>
                <w:rFonts w:hint="eastAsia"/>
                <w:color w:val="000000"/>
                <w:szCs w:val="18"/>
                <w:highlight w:val="none"/>
                <w:u w:val="single"/>
                <w:lang w:val="en-US" w:eastAsia="zh-CN"/>
              </w:rPr>
            </w:pP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rPr>
              <w:t>202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4</w:t>
            </w:r>
            <w:r>
              <w:rPr>
                <w:rFonts w:hint="eastAsia"/>
                <w:color w:val="000000"/>
                <w:szCs w:val="21"/>
              </w:rPr>
              <w:t>月</w:t>
            </w:r>
            <w:r>
              <w:rPr>
                <w:rFonts w:hint="eastAsia"/>
                <w:color w:val="000000"/>
                <w:szCs w:val="21"/>
                <w:lang w:val="en-US" w:eastAsia="zh-CN"/>
              </w:rPr>
              <w:t>10</w:t>
            </w:r>
            <w:bookmarkStart w:id="35" w:name="_GoBack"/>
            <w:bookmarkEnd w:id="35"/>
            <w:r>
              <w:rPr>
                <w:rFonts w:hint="eastAsia"/>
                <w:color w:val="000000"/>
                <w:szCs w:val="21"/>
              </w:rPr>
              <w:t>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ascii="宋体" w:hAnsi="宋体" w:cs="宋体"/>
                <w:szCs w:val="21"/>
                <w:u w:val="single"/>
              </w:rPr>
              <w:t>202</w:t>
            </w:r>
            <w:r>
              <w:rPr>
                <w:rFonts w:hint="eastAsia" w:ascii="宋体" w:hAnsi="宋体" w:cs="宋体"/>
                <w:szCs w:val="21"/>
                <w:u w:val="single"/>
                <w:lang w:val="en-US" w:eastAsia="zh-CN"/>
              </w:rPr>
              <w:t>2</w:t>
            </w:r>
            <w:r>
              <w:rPr>
                <w:rFonts w:hint="eastAsia" w:ascii="宋体" w:hAnsi="宋体" w:cs="宋体"/>
                <w:szCs w:val="21"/>
                <w:u w:val="single"/>
              </w:rPr>
              <w:t>年04月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5F834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tabs>
        <w:tab w:val="left" w:pos="540"/>
      </w:tabs>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18694</Words>
  <Characters>19470</Characters>
  <Lines>150</Lines>
  <Paragraphs>42</Paragraphs>
  <TotalTime>0</TotalTime>
  <ScaleCrop>false</ScaleCrop>
  <LinksUpToDate>false</LinksUpToDate>
  <CharactersWithSpaces>19591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2022-07-21T11:24:44Z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