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960"/>
        <w:gridCol w:w="735"/>
        <w:gridCol w:w="10"/>
        <w:gridCol w:w="9261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受审核部门：综合部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</w:rPr>
              <w:t>江晨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3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张磊    </w:t>
            </w:r>
            <w:r>
              <w:rPr>
                <w:rFonts w:hint="eastAsia"/>
                <w:sz w:val="24"/>
                <w:szCs w:val="24"/>
              </w:rPr>
              <w:t xml:space="preserve">     审核日期：202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-0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3"/>
            <w:vAlign w:val="center"/>
          </w:tcPr>
          <w:p>
            <w:pPr>
              <w:rPr>
                <w:rFonts w:cs="Arial"/>
                <w:bCs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审核条款：5.3; 6.1.2；6.1.3；6.2；7.2；7.3；7.4；7.5；8.1；8.2；9.1.2；9.2；10.2；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0" w:type="dxa"/>
            <w:vMerge w:val="restar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组织的角色、职责和权限</w:t>
            </w:r>
          </w:p>
          <w:p/>
        </w:tc>
        <w:tc>
          <w:tcPr>
            <w:tcW w:w="960" w:type="dxa"/>
            <w:vMerge w:val="restart"/>
            <w:vAlign w:val="center"/>
          </w:tcPr>
          <w:p>
            <w:r>
              <w:t>E5.3</w:t>
            </w:r>
          </w:p>
        </w:tc>
        <w:tc>
          <w:tcPr>
            <w:tcW w:w="73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7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如：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☑</w:t>
            </w:r>
            <w:r>
              <w:rPr>
                <w:rFonts w:hint="eastAsia"/>
                <w:sz w:val="24"/>
                <w:szCs w:val="24"/>
              </w:rPr>
              <w:t>管理手册第</w:t>
            </w:r>
            <w:r>
              <w:rPr>
                <w:sz w:val="24"/>
                <w:szCs w:val="24"/>
              </w:rPr>
              <w:t>5.3</w:t>
            </w:r>
            <w:r>
              <w:rPr>
                <w:rFonts w:hint="eastAsia"/>
                <w:sz w:val="24"/>
                <w:szCs w:val="24"/>
              </w:rPr>
              <w:t>章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73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74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最高管理者确定了组织架构及相关岗位的职责、权限，并进行了全员的沟通和理解；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46"/>
              <w:gridCol w:w="1843"/>
              <w:gridCol w:w="2393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6" w:type="dxa"/>
                </w:tcPr>
                <w:p>
                  <w:pP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过程名称</w:t>
                  </w:r>
                </w:p>
              </w:tc>
              <w:tc>
                <w:tcPr>
                  <w:tcW w:w="184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主管部门名称</w:t>
                  </w:r>
                </w:p>
              </w:tc>
              <w:tc>
                <w:tcPr>
                  <w:tcW w:w="239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主管部门名称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环境管理体系策划和推动</w:t>
                  </w:r>
                </w:p>
              </w:tc>
              <w:tc>
                <w:tcPr>
                  <w:tcW w:w="184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综合部</w:t>
                  </w:r>
                </w:p>
              </w:tc>
              <w:tc>
                <w:tcPr>
                  <w:tcW w:w="239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生产/服务设计开发过程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设计部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4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39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1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4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39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1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向最高管理者汇报，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管理者代表：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林森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各部门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restart"/>
            <w:vAlign w:val="center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960" w:type="dxa"/>
            <w:vMerge w:val="restart"/>
            <w:vAlign w:val="center"/>
          </w:tcPr>
          <w:p>
            <w:r>
              <w:rPr>
                <w:rFonts w:hint="eastAsia"/>
                <w:color w:val="000000"/>
                <w:szCs w:val="21"/>
              </w:rPr>
              <w:t>E6.1.2</w:t>
            </w:r>
          </w:p>
          <w:p>
            <w:r>
              <w:rPr>
                <w:rFonts w:hint="eastAsia"/>
                <w:color w:val="000000"/>
                <w:szCs w:val="21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69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如：手册第6.1.2条款、《</w:t>
            </w:r>
            <w:r>
              <w:rPr>
                <w:rFonts w:hint="eastAsia"/>
                <w:color w:val="000000"/>
                <w:szCs w:val="21"/>
              </w:rPr>
              <w:t>环境因素控制程序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69" w:type="dxa"/>
            <w:gridSpan w:val="2"/>
            <w:vAlign w:val="center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责相关的主要环境因素及其控制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80"/>
              <w:gridCol w:w="36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火灾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消防器材定期检查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废旧</w:t>
                  </w:r>
                  <w:r>
                    <w:t>电池</w:t>
                  </w:r>
                  <w:r>
                    <w:rPr>
                      <w:rFonts w:hint="eastAsia"/>
                    </w:rPr>
                    <w:t>、</w:t>
                  </w:r>
                  <w:r>
                    <w:t>灯管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环境管理方案、运行控制程序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生活</w:t>
                  </w:r>
                  <w:r>
                    <w:t>污水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环境管理方案、运行控制程序</w:t>
                  </w:r>
                </w:p>
              </w:tc>
            </w:tr>
          </w:tbl>
          <w:p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合规义务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E6.1.3 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手册第6.1.3条款、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《法律法规和其他要求控制程序》、</w:t>
            </w:r>
            <w:r>
              <w:rPr/>
              <w:sym w:font="Wingdings" w:char="00A8"/>
            </w:r>
            <w:r>
              <w:rPr>
                <w:rFonts w:hint="eastAsia"/>
              </w:rPr>
              <w:t>《法律法规其他要求清单》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组织收集法律法规和其他要求的渠道：</w:t>
            </w:r>
          </w:p>
          <w:p>
            <w:r>
              <w:rPr/>
              <w:sym w:font="Wingdings" w:char="00FE"/>
            </w:r>
            <w:r>
              <w:rPr>
                <w:rFonts w:hint="eastAsia"/>
              </w:rPr>
              <w:t xml:space="preserve">专业网站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主管机构 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专业书店   </w:t>
            </w:r>
            <w:r>
              <w:rPr/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列举主要的相关法律法规是：</w:t>
            </w:r>
          </w:p>
          <w:tbl>
            <w:tblPr>
              <w:tblStyle w:val="8"/>
              <w:tblW w:w="0" w:type="auto"/>
              <w:tblInd w:w="4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87"/>
              <w:gridCol w:w="1208"/>
              <w:gridCol w:w="2503"/>
              <w:gridCol w:w="14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法律法规名称</w:t>
                  </w:r>
                </w:p>
              </w:tc>
              <w:tc>
                <w:tcPr>
                  <w:tcW w:w="120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具体条款</w:t>
                  </w:r>
                </w:p>
              </w:tc>
              <w:tc>
                <w:tcPr>
                  <w:tcW w:w="250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应用过程</w:t>
                  </w:r>
                </w:p>
              </w:tc>
              <w:tc>
                <w:tcPr>
                  <w:tcW w:w="145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机关、团体、企业、事业单位消防安全管理规定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所有条款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消防</w:t>
                  </w:r>
                  <w:r>
                    <w:rPr>
                      <w:rFonts w:ascii="宋体" w:hAnsi="宋体"/>
                      <w:szCs w:val="21"/>
                    </w:rPr>
                    <w:t>器材检验记录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ind w:firstLine="315" w:firstLineChars="150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综合部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消防安全标志设置要求GB 15630-1995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所有</w:t>
                  </w:r>
                  <w:r>
                    <w:rPr>
                      <w:rFonts w:ascii="宋体" w:hAnsi="宋体"/>
                      <w:szCs w:val="21"/>
                    </w:rPr>
                    <w:t>条</w:t>
                  </w:r>
                  <w:r>
                    <w:rPr>
                      <w:rFonts w:hint="eastAsia" w:ascii="宋体" w:hAnsi="宋体"/>
                      <w:szCs w:val="21"/>
                    </w:rPr>
                    <w:t>款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消防</w:t>
                  </w:r>
                  <w:r>
                    <w:rPr>
                      <w:rFonts w:ascii="宋体" w:hAnsi="宋体"/>
                      <w:szCs w:val="21"/>
                    </w:rPr>
                    <w:t>检验记录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综合部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仓库防火安全管理规则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所有</w:t>
                  </w:r>
                  <w:r>
                    <w:rPr>
                      <w:rFonts w:ascii="宋体" w:hAnsi="宋体"/>
                      <w:szCs w:val="21"/>
                    </w:rPr>
                    <w:t>条款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消防</w:t>
                  </w:r>
                  <w:r>
                    <w:rPr>
                      <w:rFonts w:ascii="宋体" w:hAnsi="宋体"/>
                      <w:szCs w:val="21"/>
                    </w:rPr>
                    <w:t>器材检验记录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综合</w:t>
                  </w:r>
                  <w:r>
                    <w:rPr>
                      <w:rFonts w:ascii="宋体" w:hAnsi="宋体"/>
                    </w:rPr>
                    <w:t>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中华人民共和国环境保护法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所有</w:t>
                  </w:r>
                  <w:r>
                    <w:rPr>
                      <w:rFonts w:ascii="宋体" w:hAnsi="宋体"/>
                      <w:szCs w:val="24"/>
                    </w:rPr>
                    <w:t>条款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固废分类收集、集中处理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综合</w:t>
                  </w:r>
                  <w:r>
                    <w:rPr>
                      <w:rFonts w:ascii="宋体" w:hAnsi="宋体"/>
                    </w:rPr>
                    <w:t>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t xml:space="preserve"> </w:t>
            </w:r>
          </w:p>
          <w:p/>
          <w:p>
            <w:r>
              <w:rPr>
                <w:rFonts w:hint="eastAsia"/>
              </w:rPr>
              <w:t>根据该企业的产品/服务特性确认环境影响评价的种类：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环境影响登记表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环境影响报告表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环境影响报告书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/>
          <w:p>
            <w:r>
              <w:rPr>
                <w:rFonts w:hint="eastAsia"/>
              </w:rPr>
              <w:t xml:space="preserve">《环评验收报告》编号： 无     颁发日期： </w:t>
            </w:r>
          </w:p>
          <w:p>
            <w:r>
              <w:rPr>
                <w:rFonts w:hint="eastAsia"/>
              </w:rPr>
              <w:t>包括：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生活污水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工业废水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废气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粉尘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厂界噪声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/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措施的策划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E6.1.4 </w:t>
            </w:r>
          </w:p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如：手册第6.1.4条款、《管理方案》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组织针对重要环境因素、合规义务、风险和机遇制订了控制措施（管理方案）</w:t>
            </w:r>
          </w:p>
          <w:p/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20"/>
              <w:gridCol w:w="3707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控制内容</w:t>
                  </w:r>
                </w:p>
              </w:tc>
              <w:tc>
                <w:tcPr>
                  <w:tcW w:w="370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控制措施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3707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收集集中，交环保部处理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lang w:val="en-GB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合规义务</w:t>
                  </w:r>
                </w:p>
              </w:tc>
              <w:tc>
                <w:tcPr>
                  <w:tcW w:w="370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Cs w:val="24"/>
                    </w:rPr>
                    <w:t>按合规义务控制程序操作</w:t>
                  </w:r>
                  <w:r>
                    <w:rPr>
                      <w:rFonts w:ascii="宋体" w:hAnsi="宋体" w:cs="宋体"/>
                      <w:szCs w:val="24"/>
                    </w:rPr>
                    <w:t>，每年</w:t>
                  </w:r>
                  <w:r>
                    <w:rPr>
                      <w:rFonts w:hint="eastAsia" w:ascii="宋体" w:hAnsi="宋体" w:cs="宋体"/>
                      <w:szCs w:val="24"/>
                    </w:rPr>
                    <w:t>进行一次合规性评价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风险和机遇</w:t>
                  </w:r>
                </w:p>
              </w:tc>
              <w:tc>
                <w:tcPr>
                  <w:tcW w:w="370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</w:rPr>
                    <w:t>对</w:t>
                  </w:r>
                  <w:r>
                    <w:rPr>
                      <w:rFonts w:hint="eastAsia" w:ascii="宋体" w:hAnsi="宋体" w:cs="Arial"/>
                      <w:szCs w:val="24"/>
                    </w:rPr>
                    <w:t>主要风险和机遇采用目标、风险和相应程序文件进行控制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0" w:type="dxa"/>
                  <w:shd w:val="clear" w:color="auto" w:fill="auto"/>
                </w:tcPr>
                <w:p/>
              </w:tc>
              <w:tc>
                <w:tcPr>
                  <w:tcW w:w="370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0" w:type="dxa"/>
                  <w:shd w:val="clear" w:color="auto" w:fill="auto"/>
                </w:tcPr>
                <w:p/>
              </w:tc>
              <w:tc>
                <w:tcPr>
                  <w:tcW w:w="370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0" w:type="dxa"/>
                  <w:shd w:val="clear" w:color="auto" w:fill="auto"/>
                </w:tcPr>
                <w:p/>
              </w:tc>
              <w:tc>
                <w:tcPr>
                  <w:tcW w:w="370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环境目标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E6.2 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</w:rPr>
              <w:t>环境目标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本部门的分解环境目标实现情况的评价，及其测量方法是：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07"/>
              <w:gridCol w:w="1820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0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000000" w:themeColor="text1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环境目标</w:t>
                  </w:r>
                </w:p>
              </w:tc>
              <w:tc>
                <w:tcPr>
                  <w:tcW w:w="182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000000" w:themeColor="text1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环境控制参数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000000" w:themeColor="text1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000000" w:themeColor="text1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07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szCs w:val="21"/>
                    </w:rPr>
                    <w:t>火灾事故率为零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>
                  <w:pPr>
                    <w:ind w:left="48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综合部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ind w:left="48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07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废弃物垃圾处理率100%</w:t>
                  </w:r>
                </w:p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>
                  <w:pPr>
                    <w:ind w:left="48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综合部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ind w:left="48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资源提供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E7.1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手册第7.1章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  <w:szCs w:val="21"/>
              </w:rPr>
              <w:t>查看</w:t>
            </w:r>
            <w:r>
              <w:rPr>
                <w:rFonts w:hint="eastAsia"/>
              </w:rPr>
              <w:t>对环境有关的费用包括：</w:t>
            </w:r>
          </w:p>
          <w:p>
            <w:r>
              <w:rPr>
                <w:rFonts w:hint="eastAsia"/>
              </w:rPr>
              <w:t>能源和资源消耗：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能源消耗费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资源消耗费 </w:t>
            </w:r>
            <w:r>
              <w:rPr>
                <w:rFonts w:hint="eastAsia"/>
              </w:rPr>
              <w:sym w:font="Wingdings" w:char="00A8"/>
            </w:r>
          </w:p>
          <w:p>
            <w:r>
              <w:rPr>
                <w:rFonts w:hint="eastAsia"/>
              </w:rPr>
              <w:t xml:space="preserve">废弃物排放：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废物处理费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环境监测费用 </w:t>
            </w:r>
          </w:p>
          <w:p>
            <w:r>
              <w:rPr>
                <w:rFonts w:hint="eastAsia"/>
              </w:rPr>
              <w:t xml:space="preserve">其他：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人员资质培训和考试费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消防检测费用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消防维保费用 </w:t>
            </w:r>
          </w:p>
          <w:p>
            <w:pPr>
              <w:ind w:firstLine="840" w:firstLineChars="4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监视和测量设备检定费用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环境影响评价费用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环保设备运行费用 </w:t>
            </w:r>
          </w:p>
          <w:p>
            <w:pPr>
              <w:ind w:firstLine="840" w:firstLineChars="4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消防设施运行费用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应急费用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罚款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其他-人员社保</w:t>
            </w:r>
          </w:p>
          <w:p>
            <w:pPr>
              <w:ind w:firstLine="840" w:firstLineChars="400"/>
            </w:pPr>
          </w:p>
          <w:p>
            <w:pPr>
              <w:rPr>
                <w:color w:val="FF0000"/>
              </w:rPr>
            </w:pPr>
            <w:r>
              <w:rPr>
                <w:rFonts w:hint="eastAsia"/>
              </w:rPr>
              <w:t>本年度上述内容的预算大约人民币</w:t>
            </w:r>
            <w:r>
              <w:rPr>
                <w:rFonts w:hint="eastAsia" w:ascii="Calibri" w:hAnsi="Calibri"/>
                <w:u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u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u w:val="none"/>
                <w:lang w:val="en-US" w:eastAsia="zh-CN"/>
              </w:rPr>
              <w:t>11.</w:t>
            </w:r>
            <w:r>
              <w:rPr>
                <w:rFonts w:hint="eastAsia" w:ascii="Times New Roman" w:hAnsi="Times New Roman" w:eastAsia="宋体" w:cs="Times New Roman"/>
                <w:u w:val="none"/>
              </w:rPr>
              <w:t>3万 元</w:t>
            </w:r>
          </w:p>
          <w:p/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能力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</w:t>
            </w:r>
            <w:r>
              <w:t>7.2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  <w:color w:val="auto"/>
              </w:rPr>
              <w:t>如：《人力资源控制程序》、《能力和意识控制程序》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highlight w:val="cyan"/>
              </w:rPr>
            </w:pPr>
          </w:p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highlight w:val="cya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Calibri" w:hAnsi="Calibri"/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</w:rPr>
              <w:t xml:space="preserve"> 查看</w:t>
            </w:r>
            <w:r>
              <w:rPr>
                <w:rFonts w:hint="eastAsia"/>
                <w:color w:val="auto"/>
              </w:rPr>
              <w:t>《岗位任职能力描述》：</w:t>
            </w:r>
            <w:r>
              <w:rPr>
                <w:rFonts w:ascii="Segoe UI Emoji" w:hAnsi="Segoe UI Emoji" w:cs="Segoe UI Emoji"/>
                <w:color w:val="auto"/>
              </w:rPr>
              <w:t>☑</w:t>
            </w:r>
            <w:r>
              <w:rPr>
                <w:rFonts w:hint="eastAsia" w:ascii="宋体" w:hAnsi="宋体" w:cs="宋体"/>
                <w:color w:val="auto"/>
              </w:rPr>
              <w:t>充分</w:t>
            </w:r>
            <w:r>
              <w:rPr>
                <w:rFonts w:hint="eastAsia"/>
                <w:color w:val="auto"/>
              </w:rPr>
              <w:t xml:space="preserve">有效   </w:t>
            </w:r>
            <w:r>
              <w:rPr>
                <w:rFonts w:hint="eastAsia" w:ascii="Calibri" w:hAnsi="Calibri"/>
                <w:color w:val="auto"/>
              </w:rPr>
              <w:t>□不足，说明：</w:t>
            </w:r>
            <w:r>
              <w:rPr>
                <w:rFonts w:hint="eastAsia" w:ascii="Calibri" w:hAnsi="Calibri"/>
                <w:color w:val="auto"/>
                <w:u w:val="single"/>
              </w:rPr>
              <w:t xml:space="preserve">                           </w:t>
            </w:r>
          </w:p>
          <w:p>
            <w:pPr>
              <w:rPr>
                <w:rFonts w:ascii="Calibri" w:hAnsi="Calibri"/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抽查任职能力情况：</w:t>
            </w:r>
          </w:p>
          <w:p>
            <w:pPr>
              <w:rPr>
                <w:rFonts w:ascii="Calibri" w:hAnsi="Calibri"/>
                <w:color w:val="auto"/>
              </w:rPr>
            </w:pPr>
          </w:p>
          <w:tbl>
            <w:tblPr>
              <w:tblStyle w:val="9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9"/>
              <w:gridCol w:w="2470"/>
              <w:gridCol w:w="1880"/>
              <w:gridCol w:w="1030"/>
              <w:gridCol w:w="18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关键岗位的人员</w:t>
                  </w:r>
                </w:p>
              </w:tc>
              <w:tc>
                <w:tcPr>
                  <w:tcW w:w="247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任职要求</w:t>
                  </w:r>
                </w:p>
              </w:tc>
              <w:tc>
                <w:tcPr>
                  <w:tcW w:w="188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学历/专业</w:t>
                  </w:r>
                </w:p>
              </w:tc>
              <w:tc>
                <w:tcPr>
                  <w:tcW w:w="103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年限</w:t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2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管理者代表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林森</w:t>
                  </w:r>
                </w:p>
              </w:tc>
              <w:tc>
                <w:tcPr>
                  <w:tcW w:w="2470" w:type="dxa"/>
                  <w:shd w:val="clear" w:color="auto" w:fill="auto"/>
                </w:tcPr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本科以上学历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---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培训：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无</w:t>
                  </w:r>
                </w:p>
                <w:p>
                  <w:pPr>
                    <w:spacing w:after="0" w:line="240" w:lineRule="auto"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---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</w:p>
              </w:tc>
              <w:tc>
                <w:tcPr>
                  <w:tcW w:w="188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学历：本科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专业：电力系统及其自动化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3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27年</w:t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胜任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工程师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郑秀云</w:t>
                  </w:r>
                </w:p>
              </w:tc>
              <w:tc>
                <w:tcPr>
                  <w:tcW w:w="2470" w:type="dxa"/>
                  <w:shd w:val="clear" w:color="auto" w:fill="auto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本科及以上学历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---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培训：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无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1年以上</w:t>
                  </w:r>
                </w:p>
              </w:tc>
              <w:tc>
                <w:tcPr>
                  <w:tcW w:w="188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学历：本科</w:t>
                  </w:r>
                </w:p>
                <w:p>
                  <w:pPr>
                    <w:spacing w:after="0" w:line="240" w:lineRule="auto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专业：电气工程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3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15年</w:t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胜任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技术员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罗凌君</w:t>
                  </w:r>
                </w:p>
              </w:tc>
              <w:tc>
                <w:tcPr>
                  <w:tcW w:w="2470" w:type="dxa"/>
                  <w:shd w:val="clear" w:color="auto" w:fill="auto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本科及以上学历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----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培训：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无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1年以上</w:t>
                  </w:r>
                </w:p>
              </w:tc>
              <w:tc>
                <w:tcPr>
                  <w:tcW w:w="1880" w:type="dxa"/>
                  <w:shd w:val="clear" w:color="auto" w:fill="auto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学历：本科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专业：计算机及应用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03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14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年</w:t>
                  </w:r>
                </w:p>
              </w:tc>
              <w:tc>
                <w:tcPr>
                  <w:tcW w:w="188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不胜任</w:t>
                  </w:r>
                </w:p>
              </w:tc>
            </w:tr>
          </w:tbl>
          <w:p>
            <w:pPr>
              <w:rPr>
                <w:rFonts w:hint="eastAsia" w:ascii="Calibri" w:hAnsi="Calibri"/>
                <w:color w:val="auto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/>
                <w:u w:val="none"/>
                <w:lang w:val="en-US" w:eastAsia="zh-CN"/>
              </w:rPr>
              <w:t>获得所需的能力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所</w:t>
            </w:r>
            <w:r>
              <w:rPr>
                <w:rFonts w:hint="default" w:ascii="Calibri" w:hAnsi="Calibri"/>
                <w:u w:val="none"/>
                <w:lang w:val="en-US" w:eastAsia="zh-CN"/>
              </w:rPr>
              <w:t>采取措施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培训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调整岗位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岗位辅导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招聘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劳务外包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pStyle w:val="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暂无招聘计划</w:t>
            </w:r>
          </w:p>
          <w:tbl>
            <w:tblPr>
              <w:tblStyle w:val="9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743"/>
              <w:gridCol w:w="1320"/>
              <w:gridCol w:w="2328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《招聘计划》</w:t>
                  </w:r>
                </w:p>
              </w:tc>
              <w:tc>
                <w:tcPr>
                  <w:tcW w:w="1743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招聘</w:t>
                  </w:r>
                  <w:r>
                    <w:rPr>
                      <w:rFonts w:hint="eastAsia"/>
                      <w:lang w:val="en-US" w:eastAsia="zh-CN"/>
                    </w:rPr>
                    <w:t>完成情况</w:t>
                  </w:r>
                </w:p>
              </w:tc>
              <w:tc>
                <w:tcPr>
                  <w:tcW w:w="132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社会招聘</w:t>
                  </w:r>
                </w:p>
              </w:tc>
              <w:tc>
                <w:tcPr>
                  <w:tcW w:w="2328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管理人员 — 名</w:t>
                  </w:r>
                </w:p>
              </w:tc>
              <w:tc>
                <w:tcPr>
                  <w:tcW w:w="1743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实招—名  </w:t>
                  </w:r>
                </w:p>
              </w:tc>
              <w:tc>
                <w:tcPr>
                  <w:tcW w:w="1320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328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86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技术人员 —名</w:t>
                  </w:r>
                </w:p>
              </w:tc>
              <w:tc>
                <w:tcPr>
                  <w:tcW w:w="1743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实招—名  </w:t>
                  </w:r>
                </w:p>
              </w:tc>
              <w:tc>
                <w:tcPr>
                  <w:tcW w:w="1320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328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操作人员— 名</w:t>
                  </w:r>
                </w:p>
              </w:tc>
              <w:tc>
                <w:tcPr>
                  <w:tcW w:w="1743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实招—名  </w:t>
                  </w:r>
                </w:p>
              </w:tc>
              <w:tc>
                <w:tcPr>
                  <w:tcW w:w="132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328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</w:tr>
          </w:tbl>
          <w:p>
            <w:pPr>
              <w:rPr>
                <w:rFonts w:ascii="Calibri" w:hAnsi="Calibri"/>
                <w:color w:val="auto"/>
              </w:rPr>
            </w:pPr>
          </w:p>
          <w:p>
            <w:pPr>
              <w:rPr>
                <w:rFonts w:ascii="Calibri" w:hAnsi="Calibri"/>
                <w:color w:val="auto"/>
                <w:szCs w:val="22"/>
              </w:rPr>
            </w:pPr>
            <w:r>
              <w:rPr>
                <w:rFonts w:hint="eastAsia" w:ascii="Calibri" w:hAnsi="Calibri"/>
                <w:color w:val="auto"/>
                <w:szCs w:val="22"/>
              </w:rPr>
              <w:t>培训过程的控制：有《年度培训计划》、试卷、《培训记录表》</w:t>
            </w:r>
          </w:p>
          <w:tbl>
            <w:tblPr>
              <w:tblStyle w:val="9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24"/>
              <w:gridCol w:w="2392"/>
              <w:gridCol w:w="1647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计划培训</w:t>
                  </w:r>
                  <w:r>
                    <w:rPr>
                      <w:rFonts w:hint="eastAsia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392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培训记录</w:t>
                  </w:r>
                  <w:r>
                    <w:rPr>
                      <w:rFonts w:hint="eastAsia"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164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参加部门/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评价方式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/>
                      <w:spacing w:val="-2"/>
                      <w:sz w:val="22"/>
                      <w:szCs w:val="24"/>
                    </w:rPr>
                    <w:t>202</w:t>
                  </w:r>
                  <w:r>
                    <w:rPr>
                      <w:rFonts w:hint="eastAsia" w:ascii="宋体"/>
                      <w:spacing w:val="-2"/>
                      <w:sz w:val="22"/>
                      <w:szCs w:val="24"/>
                      <w:lang w:val="en-US" w:eastAsia="zh-CN"/>
                    </w:rPr>
                    <w:t>2</w:t>
                  </w:r>
                  <w:r>
                    <w:rPr>
                      <w:rFonts w:hint="eastAsia" w:ascii="宋体"/>
                      <w:spacing w:val="-2"/>
                      <w:sz w:val="22"/>
                      <w:szCs w:val="24"/>
                    </w:rPr>
                    <w:t>年1月</w:t>
                  </w:r>
                  <w:r>
                    <w:rPr>
                      <w:rFonts w:hint="eastAsia" w:ascii="宋体"/>
                      <w:spacing w:val="-2"/>
                      <w:sz w:val="22"/>
                      <w:szCs w:val="24"/>
                      <w:lang w:val="en-US" w:eastAsia="zh-CN"/>
                    </w:rPr>
                    <w:t>2</w:t>
                  </w:r>
                  <w:r>
                    <w:rPr>
                      <w:rFonts w:hint="eastAsia" w:ascii="宋体"/>
                      <w:spacing w:val="-2"/>
                      <w:sz w:val="22"/>
                      <w:szCs w:val="24"/>
                    </w:rPr>
                    <w:t>0日</w:t>
                  </w:r>
                </w:p>
              </w:tc>
              <w:tc>
                <w:tcPr>
                  <w:tcW w:w="239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GB/T19001-2016、GB/T24001-2016、GB/T45001-2020体系标准</w:t>
                  </w:r>
                </w:p>
              </w:tc>
              <w:tc>
                <w:tcPr>
                  <w:tcW w:w="164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各部门/25人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/>
                      <w:spacing w:val="-2"/>
                      <w:sz w:val="22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/>
                      <w:spacing w:val="-2"/>
                      <w:sz w:val="22"/>
                      <w:szCs w:val="24"/>
                      <w:lang w:val="en-US" w:eastAsia="zh-CN"/>
                    </w:rPr>
                    <w:t>202</w:t>
                  </w:r>
                  <w:r>
                    <w:rPr>
                      <w:rFonts w:hint="eastAsia" w:ascii="宋体"/>
                      <w:spacing w:val="-2"/>
                      <w:sz w:val="22"/>
                      <w:szCs w:val="24"/>
                      <w:lang w:val="en-US" w:eastAsia="zh-CN"/>
                    </w:rPr>
                    <w:t>2</w:t>
                  </w:r>
                  <w:r>
                    <w:rPr>
                      <w:rFonts w:hint="default" w:ascii="宋体"/>
                      <w:spacing w:val="-2"/>
                      <w:sz w:val="22"/>
                      <w:szCs w:val="24"/>
                      <w:lang w:val="en-US" w:eastAsia="zh-CN"/>
                    </w:rPr>
                    <w:t xml:space="preserve"> 年3 月 </w:t>
                  </w:r>
                  <w:r>
                    <w:rPr>
                      <w:rFonts w:hint="eastAsia" w:ascii="宋体"/>
                      <w:spacing w:val="-2"/>
                      <w:sz w:val="22"/>
                      <w:szCs w:val="24"/>
                      <w:lang w:val="en-US" w:eastAsia="zh-CN"/>
                    </w:rPr>
                    <w:t>21</w:t>
                  </w:r>
                  <w:r>
                    <w:rPr>
                      <w:rFonts w:hint="default" w:ascii="宋体"/>
                      <w:spacing w:val="-2"/>
                      <w:sz w:val="22"/>
                      <w:szCs w:val="24"/>
                      <w:lang w:val="en-US" w:eastAsia="zh-CN"/>
                    </w:rPr>
                    <w:t>日</w:t>
                  </w:r>
                </w:p>
              </w:tc>
              <w:tc>
                <w:tcPr>
                  <w:tcW w:w="239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消防知识</w:t>
                  </w:r>
                </w:p>
              </w:tc>
              <w:tc>
                <w:tcPr>
                  <w:tcW w:w="164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各部门/25人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/>
                      <w:spacing w:val="-2"/>
                      <w:sz w:val="22"/>
                      <w:szCs w:val="24"/>
                      <w:lang w:val="en-US"/>
                    </w:rPr>
                  </w:pPr>
                  <w:r>
                    <w:rPr>
                      <w:rFonts w:hint="default" w:ascii="宋体"/>
                      <w:spacing w:val="-2"/>
                      <w:sz w:val="22"/>
                      <w:szCs w:val="24"/>
                    </w:rPr>
                    <w:t>202</w:t>
                  </w:r>
                  <w:r>
                    <w:rPr>
                      <w:rFonts w:hint="eastAsia" w:ascii="宋体"/>
                      <w:spacing w:val="-2"/>
                      <w:sz w:val="22"/>
                      <w:szCs w:val="24"/>
                      <w:lang w:val="en-US" w:eastAsia="zh-CN"/>
                    </w:rPr>
                    <w:t>2年</w:t>
                  </w:r>
                  <w:r>
                    <w:rPr>
                      <w:rFonts w:hint="default" w:ascii="宋体"/>
                      <w:spacing w:val="-2"/>
                      <w:sz w:val="22"/>
                      <w:szCs w:val="24"/>
                    </w:rPr>
                    <w:t>4</w:t>
                  </w:r>
                  <w:r>
                    <w:rPr>
                      <w:rFonts w:hint="eastAsia" w:ascii="宋体"/>
                      <w:spacing w:val="-2"/>
                      <w:sz w:val="22"/>
                      <w:szCs w:val="24"/>
                      <w:lang w:val="en-US" w:eastAsia="zh-CN"/>
                    </w:rPr>
                    <w:t>月21日</w:t>
                  </w:r>
                </w:p>
              </w:tc>
              <w:tc>
                <w:tcPr>
                  <w:tcW w:w="239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内审员培训</w:t>
                  </w:r>
                </w:p>
              </w:tc>
              <w:tc>
                <w:tcPr>
                  <w:tcW w:w="1647" w:type="dxa"/>
                  <w:vAlign w:val="top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林森、江晨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笔试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不足</w:t>
                  </w:r>
                </w:p>
              </w:tc>
            </w:tr>
          </w:tbl>
          <w:p>
            <w:pPr>
              <w:rPr>
                <w:rFonts w:ascii="Calibri" w:hAnsi="Calibri"/>
                <w:color w:val="auto"/>
                <w:szCs w:val="22"/>
              </w:rPr>
            </w:pPr>
          </w:p>
          <w:p>
            <w:pPr>
              <w:rPr>
                <w:rFonts w:hint="eastAsia" w:ascii="Calibri" w:hAnsi="Calibri"/>
                <w:color w:val="auto"/>
                <w:szCs w:val="22"/>
              </w:rPr>
            </w:pPr>
            <w:r>
              <w:rPr>
                <w:rFonts w:hint="eastAsia" w:ascii="Calibri" w:hAnsi="Calibri"/>
                <w:color w:val="auto"/>
                <w:szCs w:val="22"/>
              </w:rPr>
              <w:t>持证上岗人员的控制：</w:t>
            </w:r>
          </w:p>
          <w:tbl>
            <w:tblPr>
              <w:tblStyle w:val="9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412"/>
              <w:gridCol w:w="2465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人员资格证书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资格证书</w:t>
                  </w:r>
                  <w:r>
                    <w:rPr>
                      <w:rFonts w:hint="eastAsia"/>
                      <w:lang w:val="en-US" w:eastAsia="zh-CN"/>
                    </w:rPr>
                    <w:t>编号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发证日期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高级工程师（电力工程技术）</w:t>
                  </w:r>
                </w:p>
              </w:tc>
              <w:tc>
                <w:tcPr>
                  <w:tcW w:w="1412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林森</w:t>
                  </w:r>
                </w:p>
              </w:tc>
              <w:tc>
                <w:tcPr>
                  <w:tcW w:w="246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342322197208130012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2007</w:t>
                  </w:r>
                  <w:r>
                    <w:rPr>
                      <w:rFonts w:hint="eastAsia"/>
                      <w:szCs w:val="22"/>
                    </w:rPr>
                    <w:t>年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szCs w:val="22"/>
                    </w:rPr>
                    <w:t>月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31</w:t>
                  </w:r>
                  <w:r>
                    <w:rPr>
                      <w:rFonts w:hint="eastAsia"/>
                      <w:szCs w:val="22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6" w:hRule="atLeast"/>
              </w:trPr>
              <w:tc>
                <w:tcPr>
                  <w:tcW w:w="0" w:type="auto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高级工程师（电力工程技术）</w:t>
                  </w:r>
                </w:p>
              </w:tc>
              <w:tc>
                <w:tcPr>
                  <w:tcW w:w="0" w:type="auto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罗凌君</w:t>
                  </w:r>
                </w:p>
              </w:tc>
              <w:tc>
                <w:tcPr>
                  <w:tcW w:w="0" w:type="auto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342301197403141014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2017</w:t>
                  </w:r>
                  <w:r>
                    <w:rPr>
                      <w:rFonts w:hint="eastAsia"/>
                      <w:szCs w:val="22"/>
                    </w:rPr>
                    <w:t>年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szCs w:val="22"/>
                    </w:rPr>
                    <w:t>月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31</w:t>
                  </w:r>
                  <w:r>
                    <w:rPr>
                      <w:rFonts w:hint="eastAsia"/>
                      <w:szCs w:val="22"/>
                    </w:rPr>
                    <w:t>日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工程师（电力工程技术）</w:t>
                  </w:r>
                </w:p>
              </w:tc>
              <w:tc>
                <w:tcPr>
                  <w:tcW w:w="0" w:type="auto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王庆华</w:t>
                  </w:r>
                </w:p>
              </w:tc>
              <w:tc>
                <w:tcPr>
                  <w:tcW w:w="0" w:type="auto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36212419811001008X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2009年12月31日</w:t>
                  </w:r>
                </w:p>
              </w:tc>
              <w:tc>
                <w:tcPr>
                  <w:tcW w:w="0" w:type="auto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eastAsia="宋体"/>
                      <w:lang w:val="en-US" w:eastAsia="zh-CN"/>
                    </w:rPr>
                    <w:t>高级工程师（电力工程技术）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郑秀云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341227198210099085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2016年12月31日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</w:tbl>
          <w:p>
            <w:pPr>
              <w:pStyle w:val="7"/>
              <w:ind w:left="0" w:leftChars="0" w:firstLine="0" w:firstLineChars="0"/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lang w:val="en-US" w:eastAsia="zh-CN"/>
              </w:rPr>
              <w:t>公司实验室租借滁州东源电力工程有限公司，电力维修统一管理</w:t>
            </w:r>
          </w:p>
          <w:p>
            <w:pPr>
              <w:rPr>
                <w:rFonts w:hint="default" w:ascii="Calibri" w:hAnsi="Calibri" w:eastAsia="宋体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</w:t>
            </w:r>
            <w:r>
              <w:rPr>
                <w:rFonts w:hint="eastAsia"/>
              </w:rPr>
              <w:t>三级安全教育</w:t>
            </w:r>
            <w:r>
              <w:rPr>
                <w:rFonts w:hint="eastAsia"/>
                <w:lang w:val="en-US" w:eastAsia="zh-CN"/>
              </w:rPr>
              <w:t>的情况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  <w:color w:val="auto"/>
                <w:lang w:val="en-US" w:eastAsia="zh-CN"/>
              </w:rPr>
              <w:t>企业进行了安全教育培训，详见培训记录</w:t>
            </w:r>
          </w:p>
        </w:tc>
        <w:tc>
          <w:tcPr>
            <w:tcW w:w="1585" w:type="dxa"/>
            <w:vMerge w:val="continue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意识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</w:t>
            </w:r>
            <w:r>
              <w:t>7</w:t>
            </w:r>
            <w:r>
              <w:rPr>
                <w:rFonts w:hint="eastAsia"/>
              </w:rPr>
              <w:t>.</w:t>
            </w:r>
            <w:r>
              <w:t>3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《人力资源控制程序》、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《能力和意识控制程序》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组织工作人员提高环保意识的方式： </w:t>
            </w:r>
          </w:p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4"/>
              <w:gridCol w:w="4061"/>
              <w:gridCol w:w="19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需要让员工知晓的内容</w:t>
                  </w:r>
                </w:p>
              </w:tc>
              <w:tc>
                <w:tcPr>
                  <w:tcW w:w="4061" w:type="dxa"/>
                </w:tcPr>
                <w:p>
                  <w:r>
                    <w:rPr>
                      <w:rFonts w:hint="eastAsia"/>
                    </w:rPr>
                    <w:t>方式</w:t>
                  </w:r>
                </w:p>
              </w:tc>
              <w:tc>
                <w:tcPr>
                  <w:tcW w:w="196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环境方针</w:t>
                  </w:r>
                </w:p>
              </w:tc>
              <w:tc>
                <w:tcPr>
                  <w:tcW w:w="4061" w:type="dxa"/>
                </w:tcPr>
                <w:p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>
                      <w:rFonts w:hint="eastAsia" w:ascii="Calibri" w:hAnsi="Calibri"/>
                    </w:rPr>
                    <w:t>□培训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</w:p>
              </w:tc>
              <w:tc>
                <w:tcPr>
                  <w:tcW w:w="196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与他们的工作相关的重要环境因素和相关的实际或潜在的环境影响</w:t>
                  </w:r>
                </w:p>
              </w:tc>
              <w:tc>
                <w:tcPr>
                  <w:tcW w:w="4061" w:type="dxa"/>
                </w:tcPr>
                <w:p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>
                      <w:rFonts w:hint="eastAsia" w:ascii="Calibri" w:hAnsi="Calibri"/>
                    </w:rPr>
                    <w:t>☑培训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对环境管理体系有效性的贡献，包括提升环境绩效的贡献；</w:t>
                  </w:r>
                </w:p>
              </w:tc>
              <w:tc>
                <w:tcPr>
                  <w:tcW w:w="4061" w:type="dxa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>
                      <w:rFonts w:hint="eastAsia" w:ascii="Calibri" w:hAnsi="Calibri"/>
                    </w:rPr>
                    <w:t>☑培训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不符合环境管理体系要求，包括未履行组织合规义务的后果</w:t>
                  </w:r>
                </w:p>
              </w:tc>
              <w:tc>
                <w:tcPr>
                  <w:tcW w:w="4061" w:type="dxa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>
                      <w:rFonts w:hint="eastAsia" w:ascii="Calibri" w:hAnsi="Calibri"/>
                    </w:rPr>
                    <w:t>☑培训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 xml:space="preserve">沟通  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 xml:space="preserve">E7.4  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  <w:lang w:val="en-US" w:eastAsia="zh-CN"/>
              </w:rPr>
              <w:t>如：《沟通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组织考虑了合规义务，确保环境信息与环境管理体系形成的信息一致且真实可信。</w:t>
            </w: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外部沟通的控制：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9"/>
              <w:gridCol w:w="1420"/>
              <w:gridCol w:w="2210"/>
              <w:gridCol w:w="1199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日期</w:t>
                  </w:r>
                </w:p>
              </w:tc>
              <w:tc>
                <w:tcPr>
                  <w:tcW w:w="142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的内容</w:t>
                  </w:r>
                </w:p>
              </w:tc>
              <w:tc>
                <w:tcPr>
                  <w:tcW w:w="221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沟通对象</w:t>
                  </w:r>
                </w:p>
              </w:tc>
              <w:tc>
                <w:tcPr>
                  <w:tcW w:w="11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9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  <w:t>2021年08月27日</w:t>
                  </w:r>
                </w:p>
              </w:tc>
              <w:tc>
                <w:tcPr>
                  <w:tcW w:w="1420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现场评审</w:t>
                  </w:r>
                </w:p>
              </w:tc>
              <w:tc>
                <w:tcPr>
                  <w:tcW w:w="2210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  <w:t xml:space="preserve">安徽滁州广山110kV变电站新建工程设 计 交 底 </w:t>
                  </w:r>
                </w:p>
              </w:tc>
              <w:tc>
                <w:tcPr>
                  <w:tcW w:w="11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现场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基本符合</w:t>
                  </w: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内部沟通的控制：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9"/>
              <w:gridCol w:w="2420"/>
              <w:gridCol w:w="1130"/>
              <w:gridCol w:w="1440"/>
              <w:gridCol w:w="1346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日期</w:t>
                  </w:r>
                </w:p>
              </w:tc>
              <w:tc>
                <w:tcPr>
                  <w:tcW w:w="242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的内容</w:t>
                  </w:r>
                </w:p>
              </w:tc>
              <w:tc>
                <w:tcPr>
                  <w:tcW w:w="113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沟通对象</w:t>
                  </w:r>
                </w:p>
              </w:tc>
              <w:tc>
                <w:tcPr>
                  <w:tcW w:w="144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沟通方法</w:t>
                  </w:r>
                </w:p>
              </w:tc>
              <w:tc>
                <w:tcPr>
                  <w:tcW w:w="134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宋体"/>
                      <w:spacing w:val="-2"/>
                      <w:sz w:val="22"/>
                      <w:szCs w:val="24"/>
                      <w:lang w:val="en-US" w:eastAsia="zh-CN"/>
                    </w:rPr>
                    <w:t>202</w:t>
                  </w:r>
                  <w:r>
                    <w:rPr>
                      <w:rFonts w:hint="eastAsia" w:ascii="宋体"/>
                      <w:spacing w:val="-2"/>
                      <w:sz w:val="22"/>
                      <w:szCs w:val="24"/>
                      <w:lang w:val="en-US" w:eastAsia="zh-CN"/>
                    </w:rPr>
                    <w:t>2</w:t>
                  </w:r>
                  <w:r>
                    <w:rPr>
                      <w:rFonts w:hint="default" w:ascii="宋体"/>
                      <w:spacing w:val="-2"/>
                      <w:sz w:val="22"/>
                      <w:szCs w:val="24"/>
                      <w:lang w:val="en-US" w:eastAsia="zh-CN"/>
                    </w:rPr>
                    <w:t xml:space="preserve"> 年3 月 </w:t>
                  </w:r>
                  <w:r>
                    <w:rPr>
                      <w:rFonts w:hint="eastAsia" w:ascii="宋体"/>
                      <w:spacing w:val="-2"/>
                      <w:sz w:val="22"/>
                      <w:szCs w:val="24"/>
                      <w:lang w:val="en-US" w:eastAsia="zh-CN"/>
                    </w:rPr>
                    <w:t>21</w:t>
                  </w:r>
                  <w:r>
                    <w:rPr>
                      <w:rFonts w:hint="default" w:ascii="宋体"/>
                      <w:spacing w:val="-2"/>
                      <w:sz w:val="22"/>
                      <w:szCs w:val="24"/>
                      <w:lang w:val="en-US" w:eastAsia="zh-CN"/>
                    </w:rPr>
                    <w:t>日</w:t>
                  </w:r>
                </w:p>
              </w:tc>
              <w:tc>
                <w:tcPr>
                  <w:tcW w:w="2420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消防知识</w:t>
                  </w:r>
                </w:p>
              </w:tc>
              <w:tc>
                <w:tcPr>
                  <w:tcW w:w="1130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1440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教育培训</w:t>
                  </w:r>
                </w:p>
              </w:tc>
              <w:tc>
                <w:tcPr>
                  <w:tcW w:w="1346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color w:val="auto"/>
                      <w:highlight w:val="none"/>
                    </w:rPr>
                  </w:pPr>
                  <w:r>
                    <w:rPr>
                      <w:rFonts w:hint="default" w:ascii="宋体"/>
                      <w:spacing w:val="-2"/>
                      <w:sz w:val="22"/>
                      <w:szCs w:val="24"/>
                    </w:rPr>
                    <w:t>2021</w:t>
                  </w:r>
                  <w:r>
                    <w:rPr>
                      <w:rFonts w:hint="eastAsia" w:ascii="宋体"/>
                      <w:spacing w:val="-2"/>
                      <w:sz w:val="22"/>
                      <w:szCs w:val="24"/>
                      <w:lang w:val="en-US" w:eastAsia="zh-CN"/>
                    </w:rPr>
                    <w:t>年</w:t>
                  </w:r>
                  <w:r>
                    <w:rPr>
                      <w:rFonts w:hint="default" w:ascii="宋体"/>
                      <w:spacing w:val="-2"/>
                      <w:sz w:val="22"/>
                      <w:szCs w:val="24"/>
                    </w:rPr>
                    <w:t>4</w:t>
                  </w:r>
                  <w:r>
                    <w:rPr>
                      <w:rFonts w:hint="eastAsia" w:ascii="宋体"/>
                      <w:spacing w:val="-2"/>
                      <w:sz w:val="22"/>
                      <w:szCs w:val="24"/>
                      <w:lang w:val="en-US" w:eastAsia="zh-CN"/>
                    </w:rPr>
                    <w:t>月21日</w:t>
                  </w:r>
                </w:p>
              </w:tc>
              <w:tc>
                <w:tcPr>
                  <w:tcW w:w="2420" w:type="dxa"/>
                  <w:vAlign w:val="top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内审员培训</w:t>
                  </w:r>
                </w:p>
              </w:tc>
              <w:tc>
                <w:tcPr>
                  <w:tcW w:w="1130" w:type="dxa"/>
                  <w:vAlign w:val="top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1440" w:type="dxa"/>
                  <w:vAlign w:val="top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教育培训</w:t>
                  </w:r>
                </w:p>
              </w:tc>
              <w:tc>
                <w:tcPr>
                  <w:tcW w:w="1346" w:type="dxa"/>
                  <w:vAlign w:val="top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合格</w:t>
                  </w:r>
                </w:p>
              </w:tc>
            </w:tr>
          </w:tbl>
          <w:p/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形成文件的信息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 xml:space="preserve">E7.5  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《文件和记录控制程序》、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查看《受控文件清单》</w:t>
            </w:r>
          </w:p>
          <w:p>
            <w:r>
              <w:rPr>
                <w:rFonts w:hint="eastAsia"/>
              </w:rPr>
              <w:t>编审批管理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157"/>
              <w:gridCol w:w="948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157" w:type="dxa"/>
                </w:tcPr>
                <w:p>
                  <w:r>
                    <w:rPr>
                      <w:rFonts w:hint="eastAsia"/>
                    </w:rPr>
                    <w:t>审批日期</w:t>
                  </w:r>
                </w:p>
              </w:tc>
              <w:tc>
                <w:tcPr>
                  <w:tcW w:w="948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管理手册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2020-1-</w:t>
                  </w: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48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各部门负责人</w:t>
                  </w:r>
                </w:p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69" w:type="dxa"/>
                </w:tcPr>
                <w:p>
                  <w:r>
                    <w:t>程序文件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2020-1</w:t>
                  </w:r>
                  <w:r>
                    <w:rPr>
                      <w:sz w:val="18"/>
                      <w:szCs w:val="18"/>
                    </w:rPr>
                    <w:t>-2</w:t>
                  </w:r>
                </w:p>
              </w:tc>
              <w:tc>
                <w:tcPr>
                  <w:tcW w:w="948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各部门负责人</w:t>
                  </w:r>
                </w:p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/>
              </w:tc>
              <w:tc>
                <w:tcPr>
                  <w:tcW w:w="1684" w:type="dxa"/>
                </w:tcPr>
                <w:p/>
              </w:tc>
              <w:tc>
                <w:tcPr>
                  <w:tcW w:w="1157" w:type="dxa"/>
                </w:tcPr>
                <w:p/>
              </w:tc>
              <w:tc>
                <w:tcPr>
                  <w:tcW w:w="948" w:type="dxa"/>
                </w:tcPr>
                <w:p/>
              </w:tc>
              <w:tc>
                <w:tcPr>
                  <w:tcW w:w="1754" w:type="dxa"/>
                </w:tcPr>
                <w:p/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</w:tbl>
          <w:p/>
          <w:p>
            <w:pPr>
              <w:pStyle w:val="2"/>
            </w:pPr>
          </w:p>
          <w:p>
            <w:r>
              <w:rPr>
                <w:rFonts w:hint="eastAsia"/>
              </w:rPr>
              <w:t xml:space="preserve">文件修订的管理 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作废处理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/>
              </w:tc>
              <w:tc>
                <w:tcPr>
                  <w:tcW w:w="1006" w:type="dxa"/>
                </w:tcPr>
                <w:p/>
              </w:tc>
              <w:tc>
                <w:tcPr>
                  <w:tcW w:w="1754" w:type="dxa"/>
                </w:tcPr>
                <w:p/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电子文件系统管理：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定期杀毒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定期备份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限制上网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取消USB端口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外来文件控制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67"/>
              <w:gridCol w:w="1712"/>
              <w:gridCol w:w="1079"/>
              <w:gridCol w:w="1218"/>
              <w:gridCol w:w="1810"/>
              <w:gridCol w:w="14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079" w:type="dxa"/>
                </w:tcPr>
                <w:p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/>
                    </w:rPr>
                    <w:t>收集人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t>使用方法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中华人民共和国环境影响评价法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</w:tcPr>
                <w:p>
                  <w:r>
                    <w:rPr>
                      <w:rFonts w:hint="eastAsia"/>
                    </w:rPr>
                    <w:t>2021-1</w:t>
                  </w:r>
                  <w:r>
                    <w:t>-2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/>
                    </w:rPr>
                    <w:t>管理部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中华人民共和国清洁生产促进法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</w:tcPr>
                <w:p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2021-1</w:t>
                  </w:r>
                  <w:r>
                    <w:t>-2</w:t>
                  </w:r>
                </w:p>
              </w:tc>
              <w:tc>
                <w:tcPr>
                  <w:tcW w:w="1218" w:type="dxa"/>
                </w:tcPr>
                <w:p>
                  <w:pPr>
                    <w:spacing w:line="360" w:lineRule="auto"/>
                  </w:pPr>
                  <w:r>
                    <w:rPr>
                      <w:rFonts w:hint="eastAsia"/>
                    </w:rPr>
                    <w:t>管理部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中华人民共和国节约能源法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</w:tcPr>
                <w:p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2021-1</w:t>
                  </w:r>
                  <w:r>
                    <w:t>-2</w:t>
                  </w:r>
                </w:p>
              </w:tc>
              <w:tc>
                <w:tcPr>
                  <w:tcW w:w="1218" w:type="dxa"/>
                </w:tcPr>
                <w:p>
                  <w:pPr>
                    <w:spacing w:line="360" w:lineRule="auto"/>
                  </w:pPr>
                  <w:r>
                    <w:rPr>
                      <w:rFonts w:hint="eastAsia"/>
                    </w:rPr>
                    <w:t>管理部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中华人民共和国产品质量法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2021-1</w:t>
                  </w:r>
                  <w:r>
                    <w:t>-2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管理部</w:t>
                  </w:r>
                </w:p>
              </w:tc>
              <w:tc>
                <w:tcPr>
                  <w:tcW w:w="181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直接下发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vAlign w:val="center"/>
                </w:tcPr>
                <w:p>
                  <w:pPr>
                    <w:rPr>
                      <w:rStyle w:val="11"/>
                    </w:rPr>
                  </w:pPr>
                  <w:r>
                    <w:rPr>
                      <w:rStyle w:val="11"/>
                      <w:rFonts w:hint="eastAsia"/>
                    </w:rPr>
                    <w:t>中华人民共和国环境保护法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2021-1</w:t>
                  </w:r>
                  <w:r>
                    <w:t>-2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管理部</w:t>
                  </w:r>
                </w:p>
              </w:tc>
              <w:tc>
                <w:tcPr>
                  <w:tcW w:w="181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直接下发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中华人民共和国合同法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2021-1</w:t>
                  </w:r>
                  <w:r>
                    <w:t>-2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管理部</w:t>
                  </w:r>
                </w:p>
              </w:tc>
              <w:tc>
                <w:tcPr>
                  <w:tcW w:w="181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直接下发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各部门</w:t>
                  </w:r>
                </w:p>
              </w:tc>
            </w:tr>
          </w:tbl>
          <w:p/>
          <w:p>
            <w:r>
              <w:rPr>
                <w:rFonts w:hint="eastAsia"/>
              </w:rPr>
              <w:t xml:space="preserve">记录（音频、视频、图片等证据）控制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27"/>
              <w:gridCol w:w="1276"/>
              <w:gridCol w:w="1108"/>
              <w:gridCol w:w="1159"/>
              <w:gridCol w:w="1542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27" w:type="dxa"/>
                </w:tcPr>
                <w:p>
                  <w:r>
                    <w:rPr>
                      <w:rFonts w:hint="eastAsia"/>
                    </w:rPr>
                    <w:t>记录名称</w:t>
                  </w:r>
                </w:p>
              </w:tc>
              <w:tc>
                <w:tcPr>
                  <w:tcW w:w="1276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108" w:type="dxa"/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159" w:type="dxa"/>
                </w:tcPr>
                <w:p>
                  <w:r>
                    <w:rPr>
                      <w:rFonts w:hint="eastAsia"/>
                    </w:rPr>
                    <w:t>保存部门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处理日期（月）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27" w:type="dxa"/>
                </w:tcPr>
                <w:p>
                  <w:r>
                    <w:rPr>
                      <w:rFonts w:hint="eastAsia"/>
                    </w:rPr>
                    <w:t>《管理评审计划》</w:t>
                  </w:r>
                </w:p>
              </w:tc>
              <w:tc>
                <w:tcPr>
                  <w:tcW w:w="127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08" w:type="dxa"/>
                </w:tcPr>
                <w:p>
                  <w:r>
                    <w:rPr>
                      <w:rFonts w:hint="eastAsia"/>
                    </w:rPr>
                    <w:t>三年</w:t>
                  </w:r>
                </w:p>
              </w:tc>
              <w:tc>
                <w:tcPr>
                  <w:tcW w:w="1159" w:type="dxa"/>
                </w:tcPr>
                <w:p>
                  <w:r>
                    <w:rPr>
                      <w:rFonts w:hint="eastAsia"/>
                    </w:rPr>
                    <w:t>管理部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27" w:type="dxa"/>
                </w:tcPr>
                <w:p>
                  <w:r>
                    <w:rPr>
                      <w:rFonts w:hint="eastAsia"/>
                    </w:rPr>
                    <w:t>《年度培训计划》</w:t>
                  </w:r>
                </w:p>
              </w:tc>
              <w:tc>
                <w:tcPr>
                  <w:tcW w:w="127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08" w:type="dxa"/>
                </w:tcPr>
                <w:p>
                  <w:r>
                    <w:rPr>
                      <w:rFonts w:hint="eastAsia"/>
                    </w:rPr>
                    <w:t>三年</w:t>
                  </w:r>
                </w:p>
              </w:tc>
              <w:tc>
                <w:tcPr>
                  <w:tcW w:w="1159" w:type="dxa"/>
                </w:tcPr>
                <w:p>
                  <w:r>
                    <w:rPr>
                      <w:rFonts w:hint="eastAsia"/>
                    </w:rPr>
                    <w:t>管理部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27" w:type="dxa"/>
                </w:tcPr>
                <w:p>
                  <w:r>
                    <w:rPr>
                      <w:rFonts w:hint="eastAsia"/>
                    </w:rPr>
                    <w:t>《员工培训档案》</w:t>
                  </w:r>
                </w:p>
              </w:tc>
              <w:tc>
                <w:tcPr>
                  <w:tcW w:w="127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08" w:type="dxa"/>
                </w:tcPr>
                <w:p>
                  <w:r>
                    <w:rPr>
                      <w:rFonts w:hint="eastAsia"/>
                    </w:rPr>
                    <w:t>长期</w:t>
                  </w:r>
                </w:p>
              </w:tc>
              <w:tc>
                <w:tcPr>
                  <w:tcW w:w="1159" w:type="dxa"/>
                </w:tcPr>
                <w:p>
                  <w:r>
                    <w:rPr>
                      <w:rFonts w:hint="eastAsia"/>
                    </w:rPr>
                    <w:t>供销部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</w:tbl>
          <w:p>
            <w:pPr>
              <w:pStyle w:val="2"/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运行控制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 xml:space="preserve">E8.1 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《固体废弃物控制程序》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highlight w:val="cya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目前进行固体废弃物的性质：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可回收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一般生活垃圾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危险废弃物</w:t>
            </w:r>
          </w:p>
          <w:p>
            <w:r>
              <w:rPr>
                <w:rFonts w:hint="eastAsia"/>
              </w:rPr>
              <w:t>可回收垃圾的处置：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自用为原材料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销售给废品回收方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由相应供方回收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一般垃圾的处置：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销售给废品回收方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由相应供方回收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■用电：照明、空调、设备运行——人走关灯、断电、营业温度适宜（冬季≤23℃，夏季冬季≥25℃）；</w:t>
            </w:r>
          </w:p>
          <w:p>
            <w:r>
              <w:rPr>
                <w:rFonts w:hint="eastAsia"/>
              </w:rPr>
              <w:t>■用水：不跑冒滴漏，随手关水龙头；</w:t>
            </w:r>
          </w:p>
          <w:p>
            <w:r>
              <w:rPr>
                <w:rFonts w:hint="eastAsia"/>
              </w:rPr>
              <w:t>■</w:t>
            </w:r>
            <w:r>
              <w:t>废水</w:t>
            </w:r>
            <w:r>
              <w:rPr>
                <w:rFonts w:hint="eastAsia"/>
              </w:rPr>
              <w:t>：由下水道直接排入市政管网；</w:t>
            </w:r>
          </w:p>
          <w:p>
            <w:r>
              <w:rPr>
                <w:rFonts w:hint="eastAsia"/>
              </w:rPr>
              <w:t>■消防：有消防栓、灭火器（干粉、水基）；对消防设施每周检查，记录完整</w:t>
            </w:r>
          </w:p>
          <w:p>
            <w:r>
              <w:rPr>
                <w:rFonts w:hint="eastAsia"/>
              </w:rPr>
              <w:t>■特种设备的使用：不使用</w:t>
            </w:r>
          </w:p>
          <w:p>
            <w:r>
              <w:rPr>
                <w:rFonts w:hint="eastAsia"/>
              </w:rPr>
              <w:t>■《环评影响登记表》中没有要求进行任何废弃物浓度的检测。</w:t>
            </w:r>
          </w:p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E8.2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《应急准备和响应控制程序》、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《应急预案》</w:t>
            </w:r>
          </w:p>
          <w:p/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 xml:space="preserve">《应急预案》包括：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消防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特种设备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食物中毒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触电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食物中毒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</w:p>
          <w:p/>
          <w:p>
            <w:r>
              <w:rPr>
                <w:rFonts w:hint="eastAsia"/>
              </w:rPr>
              <w:t>应急准备和响应的情况：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火灾消防演练</w:t>
                  </w:r>
                </w:p>
                <w:p>
                  <w:r>
                    <w:rPr>
                      <w:rFonts w:hint="default" w:eastAsia="宋体"/>
                      <w:vertAlign w:val="baseline"/>
                      <w:lang w:val="en-US" w:eastAsia="zh-CN"/>
                    </w:rPr>
                    <w:t>202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</w:t>
                  </w:r>
                  <w:r>
                    <w:rPr>
                      <w:rFonts w:hint="default" w:eastAsia="宋体"/>
                      <w:vertAlign w:val="baseline"/>
                      <w:lang w:val="en-US" w:eastAsia="zh-CN"/>
                    </w:rPr>
                    <w:t>年3月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</w:t>
                  </w:r>
                  <w:r>
                    <w:rPr>
                      <w:rFonts w:hint="default" w:eastAsia="宋体"/>
                      <w:vertAlign w:val="baseline"/>
                      <w:lang w:val="en-US" w:eastAsia="zh-CN"/>
                    </w:rPr>
                    <w:t>5日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火灾消防演练记录</w:t>
                  </w:r>
                </w:p>
                <w:p/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/>
              </w:tc>
              <w:tc>
                <w:tcPr>
                  <w:tcW w:w="2084" w:type="dxa"/>
                </w:tcPr>
                <w:p/>
              </w:tc>
              <w:tc>
                <w:tcPr>
                  <w:tcW w:w="2913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/>
              </w:tc>
              <w:tc>
                <w:tcPr>
                  <w:tcW w:w="2084" w:type="dxa"/>
                </w:tcPr>
                <w:p/>
              </w:tc>
              <w:tc>
                <w:tcPr>
                  <w:tcW w:w="2913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/>
              </w:tc>
              <w:tc>
                <w:tcPr>
                  <w:tcW w:w="2084" w:type="dxa"/>
                </w:tcPr>
                <w:p/>
              </w:tc>
              <w:tc>
                <w:tcPr>
                  <w:tcW w:w="2913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每次演练后                  </w:t>
            </w:r>
          </w:p>
          <w:p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     无                     </w:t>
            </w:r>
            <w:r>
              <w:rPr>
                <w:rFonts w:hint="eastAsia"/>
              </w:rPr>
              <w:t>。</w:t>
            </w:r>
          </w:p>
          <w:p/>
          <w:p>
            <w:r>
              <w:rPr>
                <w:rFonts w:hint="eastAsia"/>
              </w:rPr>
              <w:t xml:space="preserve">《应急预案》在当地环保部门的备案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未实施</w:t>
            </w:r>
          </w:p>
          <w:p/>
          <w:p>
            <w:r>
              <w:rPr>
                <w:rFonts w:hint="eastAsia"/>
              </w:rPr>
              <w:t>适当时，向有关的相关方，包括组织控制下工作的人员提供相关的培训。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未实施</w:t>
            </w:r>
          </w:p>
          <w:p/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监视和测量设备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E9.1.1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如：《监视和测量资源控制程序》、手册第9.1.1条款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highlight w:val="cya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 xml:space="preserve">了解用于环境监测的监视和测量资源种类：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计量器具 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安全阀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可燃气体报警器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</w:p>
          <w:p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定期验证的计划，频次：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抽查验证记录日期：       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未按照验证计划实施；说明                         </w:t>
            </w:r>
          </w:p>
          <w:p>
            <w:r>
              <w:rPr>
                <w:rFonts w:hint="eastAsia"/>
              </w:rPr>
              <w:t>日常检查：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危化品管理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特种设备管理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持证上岗人员管理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安全隐患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消防管理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抽取监视、测量、分析和评价相关记录名称：</w:t>
            </w:r>
            <w:r>
              <w:rPr>
                <w:rFonts w:hint="eastAsia"/>
                <w:u w:val="single"/>
              </w:rPr>
              <w:t xml:space="preserve">  《固体废物回收处理记录》       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第三方监测：</w:t>
            </w:r>
          </w:p>
          <w:p>
            <w:r>
              <w:rPr>
                <w:rFonts w:hint="eastAsia"/>
              </w:rPr>
              <w:t xml:space="preserve">作业场所有害物质浓度检测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噪声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高温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粉尘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放射性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化学物质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第三方《监测报告》编号：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</w:t>
            </w:r>
          </w:p>
          <w:p>
            <w:pPr>
              <w:ind w:firstLine="210" w:firstLineChars="100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监测机构名称：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</w:rPr>
              <w:t>资质证书编号：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结论：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达标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超标，说明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</w:t>
            </w:r>
          </w:p>
          <w:p/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合规性评价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E9.1.2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如：《合规性评价控制程序》、或《合规义务控制程序》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highlight w:val="cya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A8"/>
            </w:r>
            <w:r>
              <w:rPr>
                <w:rFonts w:hint="eastAsia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近一年，合规义务如下：</w:t>
            </w:r>
          </w:p>
          <w:p/>
          <w:p>
            <w:pPr>
              <w:rPr>
                <w:color w:val="000000"/>
                <w:szCs w:val="18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19"/>
              <w:gridCol w:w="1560"/>
              <w:gridCol w:w="2403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19" w:type="dxa"/>
                </w:tcPr>
                <w:p>
                  <w:r>
                    <w:rPr>
                      <w:rFonts w:hint="eastAsia"/>
                    </w:rPr>
                    <w:t>合规义务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评价日期</w:t>
                  </w:r>
                </w:p>
              </w:tc>
              <w:tc>
                <w:tcPr>
                  <w:tcW w:w="2403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19" w:type="dxa"/>
                </w:tcPr>
                <w:p>
                  <w:r>
                    <w:rPr>
                      <w:rFonts w:hint="eastAsia"/>
                    </w:rPr>
                    <w:t>中华人民共和国环境保护法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2021-</w:t>
                  </w:r>
                  <w:r>
                    <w:t>1</w:t>
                  </w:r>
                  <w:r>
                    <w:rPr>
                      <w:rFonts w:hint="eastAsia"/>
                    </w:rPr>
                    <w:t>-</w:t>
                  </w:r>
                  <w:r>
                    <w:t>2</w:t>
                  </w:r>
                </w:p>
              </w:tc>
              <w:tc>
                <w:tcPr>
                  <w:tcW w:w="240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19" w:type="dxa"/>
                </w:tcPr>
                <w:p>
                  <w:pPr>
                    <w:pStyle w:val="17"/>
                  </w:pPr>
                  <w:r>
                    <w:rPr>
                      <w:rFonts w:hint="eastAsia"/>
                    </w:rPr>
                    <w:t>江苏省消防条例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2021-</w:t>
                  </w:r>
                  <w:r>
                    <w:t>1</w:t>
                  </w:r>
                  <w:r>
                    <w:rPr>
                      <w:rFonts w:hint="eastAsia"/>
                    </w:rPr>
                    <w:t>-</w:t>
                  </w:r>
                  <w:r>
                    <w:t>2</w:t>
                  </w:r>
                </w:p>
              </w:tc>
              <w:tc>
                <w:tcPr>
                  <w:tcW w:w="240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19" w:type="dxa"/>
                </w:tcPr>
                <w:p>
                  <w:pPr>
                    <w:pStyle w:val="17"/>
                  </w:pPr>
                  <w:r>
                    <w:rPr>
                      <w:rFonts w:hint="eastAsia" w:ascii="宋体" w:hAnsi="宋体"/>
                      <w:szCs w:val="21"/>
                    </w:rPr>
                    <w:t>消防安全标志设置要求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2021-</w:t>
                  </w:r>
                  <w:r>
                    <w:t>1</w:t>
                  </w:r>
                  <w:r>
                    <w:rPr>
                      <w:rFonts w:hint="eastAsia"/>
                    </w:rPr>
                    <w:t>-2</w:t>
                  </w:r>
                </w:p>
              </w:tc>
              <w:tc>
                <w:tcPr>
                  <w:tcW w:w="240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内部审核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E9.2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如：《内审控制程序》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highlight w:val="cya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</w:rPr>
              <w:t>202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2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年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4</w:t>
            </w:r>
            <w:r>
              <w:rPr>
                <w:rFonts w:hint="eastAsia"/>
                <w:szCs w:val="18"/>
                <w:u w:val="single"/>
              </w:rPr>
              <w:t>月1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0</w:t>
            </w:r>
            <w:r>
              <w:rPr>
                <w:rFonts w:hint="eastAsia"/>
                <w:szCs w:val="18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实施了内部审核；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《内审计划》：有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2  </w:t>
            </w:r>
            <w:r>
              <w:rPr>
                <w:rFonts w:hint="eastAsia"/>
                <w:color w:val="000000"/>
                <w:szCs w:val="18"/>
              </w:rPr>
              <w:t>名内审员；有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 xml:space="preserve">《内审员证书》 </w:t>
            </w:r>
            <w:r>
              <w:rPr>
                <w:rFonts w:hint="eastAsia"/>
                <w:color w:val="000000"/>
                <w:szCs w:val="21"/>
              </w:rPr>
              <w:t>□有内审员培训记录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《内审检查表》：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 xml:space="preserve">与内审计划一致 </w:t>
            </w:r>
            <w:r>
              <w:rPr>
                <w:rFonts w:hint="eastAsia"/>
                <w:color w:val="000000"/>
                <w:szCs w:val="21"/>
              </w:rPr>
              <w:t>□与内审计划不一致缺少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抽查的部门：如：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管理层、供销部、配送部、质检部、综合部....  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《不符合项报告》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涉及的条款号或问题简述：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</w:rPr>
              <w:t xml:space="preserve">  </w:t>
            </w:r>
            <w:r>
              <w:rPr>
                <w:szCs w:val="18"/>
                <w:u w:val="single"/>
              </w:rPr>
              <w:t>E</w:t>
            </w:r>
            <w:r>
              <w:rPr>
                <w:rFonts w:hint="eastAsia"/>
                <w:szCs w:val="18"/>
                <w:u w:val="single"/>
              </w:rPr>
              <w:t>；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9</w:t>
            </w:r>
            <w:r>
              <w:rPr>
                <w:rFonts w:hint="eastAsia"/>
                <w:szCs w:val="18"/>
                <w:u w:val="single"/>
              </w:rPr>
              <w:t>.</w:t>
            </w:r>
            <w:r>
              <w:rPr>
                <w:szCs w:val="18"/>
                <w:u w:val="single"/>
              </w:rPr>
              <w:t>1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.3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不符合项已关闭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color w:val="000000"/>
                <w:szCs w:val="21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  <w:r>
              <w:rPr>
                <w:rFonts w:hint="eastAsia"/>
                <w:color w:val="000000"/>
                <w:szCs w:val="21"/>
              </w:rPr>
              <w:t>》结论：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体系运行有效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color w:val="000000"/>
                <w:szCs w:val="21"/>
              </w:rPr>
              <w:t>，问题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shd w:val="clear" w:color="FFFFFF" w:fill="D9D9D9"/>
              </w:rPr>
            </w:pPr>
            <w:r>
              <w:rPr>
                <w:rFonts w:hint="eastAsia"/>
                <w:shd w:val="clear" w:color="FFFFFF" w:fill="D9D9D9"/>
              </w:rPr>
              <w:t>本次现场审核时，上述不符合项的纠正措施的有效性</w:t>
            </w:r>
          </w:p>
          <w:p>
            <w:r>
              <w:rPr>
                <w:rFonts w:hint="eastAsia"/>
                <w:shd w:val="clear" w:color="FFFFFF" w:fill="D9D9D9"/>
              </w:rPr>
              <w:sym w:font="Wingdings" w:char="00FE"/>
            </w:r>
            <w:r>
              <w:rPr>
                <w:rFonts w:hint="eastAsia"/>
                <w:shd w:val="clear" w:color="FFFFFF" w:fill="D9D9D9"/>
              </w:rPr>
              <w:t xml:space="preserve">不符合项未发生  </w:t>
            </w:r>
            <w:r>
              <w:rPr>
                <w:rFonts w:hint="eastAsia"/>
                <w:shd w:val="clear" w:color="FFFFFF" w:fill="D9D9D9"/>
              </w:rPr>
              <w:sym w:font="Wingdings" w:char="00A8"/>
            </w:r>
            <w:r>
              <w:rPr>
                <w:rFonts w:hint="eastAsia"/>
                <w:shd w:val="clear" w:color="FFFFFF" w:fill="D9D9D9"/>
              </w:rPr>
              <w:t>不符合项仍然存在</w:t>
            </w:r>
          </w:p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E10.2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《管理</w:t>
            </w:r>
            <w:r>
              <w:t>手册</w:t>
            </w:r>
            <w:r>
              <w:rPr>
                <w:rFonts w:hint="eastAsia"/>
              </w:rPr>
              <w:t>》10.2章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highlight w:val="cya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相关方投诉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环保事故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工作运行中检查的问题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未发现 </w:t>
            </w:r>
          </w:p>
          <w:p>
            <w:r>
              <w:rPr>
                <w:rFonts w:hint="eastAsia"/>
              </w:rPr>
              <w:t xml:space="preserve">抽查采取纠正措施相关记录名称：《  》     </w:t>
            </w:r>
          </w:p>
          <w:p>
            <w:r>
              <w:rPr>
                <w:rFonts w:hint="eastAsia"/>
              </w:rPr>
              <w:t>事件、不符合的来源：未发生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未遂事件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工伤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职业病检测结果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工作运行中发现的问题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                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637"/>
              <w:gridCol w:w="1538"/>
              <w:gridCol w:w="13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事件日期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事件和不符合描述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及时报告</w:t>
                  </w:r>
                </w:p>
              </w:tc>
              <w:tc>
                <w:tcPr>
                  <w:tcW w:w="1637" w:type="dxa"/>
                </w:tcPr>
                <w:p>
                  <w:r>
                    <w:rPr>
                      <w:rFonts w:hint="eastAsia"/>
                    </w:rPr>
                    <w:t>纠正/处置后果的有效性</w:t>
                  </w:r>
                </w:p>
              </w:tc>
              <w:tc>
                <w:tcPr>
                  <w:tcW w:w="1538" w:type="dxa"/>
                </w:tcPr>
                <w:p>
                  <w:r>
                    <w:rPr>
                      <w:rFonts w:hint="eastAsia"/>
                    </w:rPr>
                    <w:t>确定类似事件曾经发生过</w:t>
                  </w:r>
                </w:p>
              </w:tc>
              <w:tc>
                <w:tcPr>
                  <w:tcW w:w="1347" w:type="dxa"/>
                </w:tcPr>
                <w:p>
                  <w:r>
                    <w:rPr>
                      <w:rFonts w:hint="eastAsia"/>
                    </w:rPr>
                    <w:t>工作人员和相关方参与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  <w:p/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637" w:type="dxa"/>
                </w:tcPr>
                <w:p/>
              </w:tc>
              <w:tc>
                <w:tcPr>
                  <w:tcW w:w="153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发生过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未发生过</w:t>
                  </w:r>
                </w:p>
              </w:tc>
              <w:tc>
                <w:tcPr>
                  <w:tcW w:w="13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参与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  <w:p/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637" w:type="dxa"/>
                </w:tcPr>
                <w:p/>
              </w:tc>
              <w:tc>
                <w:tcPr>
                  <w:tcW w:w="1538" w:type="dxa"/>
                </w:tcPr>
                <w:p/>
              </w:tc>
              <w:tc>
                <w:tcPr>
                  <w:tcW w:w="1347" w:type="dxa"/>
                </w:tcPr>
                <w:p/>
              </w:tc>
            </w:tr>
          </w:tbl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事件和不符合描述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调查事件和评审不符合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工作人员和相关方参与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  <w:p/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参与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  <w:p/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 xml:space="preserve">确定并实施纠正措施按照控制层级和变更管理；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在采取措施前，评价与新的或变化的危险源相关的职业健康安全风险；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评审任何所采取措施的有效性，包括纠正措施；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在必要时，变更职业健康安全管理体系。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cyan"/>
              </w:rPr>
            </w:pPr>
          </w:p>
        </w:tc>
      </w:tr>
    </w:tbl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kH4RNgAAAALAQAADwAAAAAAAAABACAAAAAiAAAAZHJzL2Rvd25yZXYu&#10;eG1sUEsBAhQAFAAAAAgAh07iQDjWOEL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4ZWJiZGY2YjU2MmRhNjg4NDA1NWJhMzhhZTVmYzcifQ=="/>
  </w:docVars>
  <w:rsids>
    <w:rsidRoot w:val="009973B4"/>
    <w:rsid w:val="00014907"/>
    <w:rsid w:val="00020E9A"/>
    <w:rsid w:val="000237F6"/>
    <w:rsid w:val="0003373A"/>
    <w:rsid w:val="000400E2"/>
    <w:rsid w:val="00062E46"/>
    <w:rsid w:val="000C3B61"/>
    <w:rsid w:val="000E6B21"/>
    <w:rsid w:val="001179E3"/>
    <w:rsid w:val="001507A7"/>
    <w:rsid w:val="001803D4"/>
    <w:rsid w:val="00184480"/>
    <w:rsid w:val="001A2D7F"/>
    <w:rsid w:val="002939AD"/>
    <w:rsid w:val="002C4DD6"/>
    <w:rsid w:val="00314AF6"/>
    <w:rsid w:val="003178E5"/>
    <w:rsid w:val="00337922"/>
    <w:rsid w:val="00340867"/>
    <w:rsid w:val="00380837"/>
    <w:rsid w:val="00394B65"/>
    <w:rsid w:val="003A198A"/>
    <w:rsid w:val="003F75A7"/>
    <w:rsid w:val="004018BC"/>
    <w:rsid w:val="0040366D"/>
    <w:rsid w:val="00410914"/>
    <w:rsid w:val="004177C7"/>
    <w:rsid w:val="00424092"/>
    <w:rsid w:val="0048201E"/>
    <w:rsid w:val="00517D50"/>
    <w:rsid w:val="005258AF"/>
    <w:rsid w:val="00536930"/>
    <w:rsid w:val="00541A26"/>
    <w:rsid w:val="00564E53"/>
    <w:rsid w:val="005D5659"/>
    <w:rsid w:val="00600C20"/>
    <w:rsid w:val="00644FE2"/>
    <w:rsid w:val="0067640C"/>
    <w:rsid w:val="00683EAB"/>
    <w:rsid w:val="006E250E"/>
    <w:rsid w:val="006E678B"/>
    <w:rsid w:val="006E7B1D"/>
    <w:rsid w:val="007125EF"/>
    <w:rsid w:val="00751E49"/>
    <w:rsid w:val="007757F3"/>
    <w:rsid w:val="007767F6"/>
    <w:rsid w:val="007C1B48"/>
    <w:rsid w:val="007E3B15"/>
    <w:rsid w:val="007E6AEB"/>
    <w:rsid w:val="007F581C"/>
    <w:rsid w:val="0081694C"/>
    <w:rsid w:val="00831D00"/>
    <w:rsid w:val="00840EEB"/>
    <w:rsid w:val="008973EE"/>
    <w:rsid w:val="0089746A"/>
    <w:rsid w:val="008F3142"/>
    <w:rsid w:val="009047BD"/>
    <w:rsid w:val="00922CFD"/>
    <w:rsid w:val="00971600"/>
    <w:rsid w:val="009973B4"/>
    <w:rsid w:val="009C28C1"/>
    <w:rsid w:val="009D264C"/>
    <w:rsid w:val="009D61F2"/>
    <w:rsid w:val="009F7EED"/>
    <w:rsid w:val="00A02C2E"/>
    <w:rsid w:val="00A20DAA"/>
    <w:rsid w:val="00A707C2"/>
    <w:rsid w:val="00A80636"/>
    <w:rsid w:val="00AF0AAB"/>
    <w:rsid w:val="00B262E4"/>
    <w:rsid w:val="00B442E7"/>
    <w:rsid w:val="00B815A2"/>
    <w:rsid w:val="00BD2CB3"/>
    <w:rsid w:val="00BF597E"/>
    <w:rsid w:val="00C51A36"/>
    <w:rsid w:val="00C55228"/>
    <w:rsid w:val="00C63768"/>
    <w:rsid w:val="00CE315A"/>
    <w:rsid w:val="00D06F59"/>
    <w:rsid w:val="00D8388C"/>
    <w:rsid w:val="00DC1F17"/>
    <w:rsid w:val="00E50865"/>
    <w:rsid w:val="00E6224C"/>
    <w:rsid w:val="00E804AA"/>
    <w:rsid w:val="00EB0164"/>
    <w:rsid w:val="00ED0F62"/>
    <w:rsid w:val="00ED530E"/>
    <w:rsid w:val="00ED5ED3"/>
    <w:rsid w:val="00F90514"/>
    <w:rsid w:val="00FB0205"/>
    <w:rsid w:val="00FB2353"/>
    <w:rsid w:val="00FE58F7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7D3C1A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9C6D96"/>
    <w:rsid w:val="11BD2BE2"/>
    <w:rsid w:val="11BE2038"/>
    <w:rsid w:val="11C40475"/>
    <w:rsid w:val="11DC0AC4"/>
    <w:rsid w:val="11E2439D"/>
    <w:rsid w:val="12563B2D"/>
    <w:rsid w:val="128777D8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A753E6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B93615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8FD09A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B06215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C06D29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6778B2"/>
    <w:rsid w:val="2EB63DCC"/>
    <w:rsid w:val="2EEE512C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617B07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9E84DA4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1F542C"/>
    <w:rsid w:val="3E342793"/>
    <w:rsid w:val="3E3C5235"/>
    <w:rsid w:val="3E830FBA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E5654"/>
    <w:rsid w:val="432A5E11"/>
    <w:rsid w:val="433B1167"/>
    <w:rsid w:val="4352128B"/>
    <w:rsid w:val="435F500F"/>
    <w:rsid w:val="43C730CD"/>
    <w:rsid w:val="44350F69"/>
    <w:rsid w:val="444A5D98"/>
    <w:rsid w:val="44A567F5"/>
    <w:rsid w:val="453B1EBC"/>
    <w:rsid w:val="455F6757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5D1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F31A16"/>
    <w:rsid w:val="4F594843"/>
    <w:rsid w:val="4F88590D"/>
    <w:rsid w:val="4FC85308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8F6640"/>
    <w:rsid w:val="5C966EB6"/>
    <w:rsid w:val="5CA37D44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5E00AE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9B6A71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1790488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4363D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color w:val="333333"/>
      <w:u w:val="none"/>
    </w:rPr>
  </w:style>
  <w:style w:type="character" w:customStyle="1" w:styleId="12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styleId="17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BCB168-B9F1-404F-BD62-C55B3664AB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12</Pages>
  <Words>4741</Words>
  <Characters>5180</Characters>
  <Lines>47</Lines>
  <Paragraphs>13</Paragraphs>
  <TotalTime>1</TotalTime>
  <ScaleCrop>false</ScaleCrop>
  <LinksUpToDate>false</LinksUpToDate>
  <CharactersWithSpaces>6020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2020-06-02T13:12:00Z</dcterms:created>
  <dc:creator>微软用户</dc:creator>
  <cp:lastModifiedBy>春华秋实</cp:lastModifiedBy>
  <dcterms:modified xsi:type="dcterms:W3CDTF">2022-07-21T11:17:18Z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59EC79952C0649648088B2C76A8E3D1D</vt:lpwstr>
  </property>
</Properties>
</file>