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590"/>
        <w:gridCol w:w="9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590" w:type="dxa"/>
            <w:vAlign w:val="center"/>
          </w:tcPr>
          <w:p>
            <w:pPr>
              <w:rPr>
                <w:rFonts w:hint="eastAsia" w:eastAsia="宋体"/>
                <w:sz w:val="24"/>
                <w:szCs w:val="24"/>
                <w:lang w:eastAsia="zh-CN"/>
              </w:rPr>
            </w:pPr>
            <w:r>
              <w:rPr>
                <w:rFonts w:hint="eastAsia"/>
                <w:sz w:val="24"/>
                <w:szCs w:val="24"/>
              </w:rPr>
              <w:t>受审核部门：</w:t>
            </w:r>
            <w:r>
              <w:rPr>
                <w:rFonts w:hint="eastAsia"/>
                <w:sz w:val="24"/>
                <w:szCs w:val="24"/>
                <w:lang w:eastAsia="zh-CN"/>
              </w:rPr>
              <w:t>管理层</w:t>
            </w:r>
            <w:r>
              <w:rPr>
                <w:rFonts w:hint="eastAsia"/>
                <w:sz w:val="24"/>
                <w:szCs w:val="24"/>
                <w:lang w:val="en-US" w:eastAsia="zh-CN"/>
              </w:rPr>
              <w:t xml:space="preserve">              </w:t>
            </w:r>
            <w:r>
              <w:rPr>
                <w:rFonts w:hint="eastAsia"/>
                <w:sz w:val="24"/>
                <w:szCs w:val="24"/>
              </w:rPr>
              <w:t>主管领导：</w:t>
            </w:r>
            <w:bookmarkStart w:id="0" w:name="管理者代表"/>
            <w:r>
              <w:rPr>
                <w:rFonts w:hint="eastAsia"/>
                <w:sz w:val="24"/>
                <w:szCs w:val="24"/>
              </w:rPr>
              <w:t>罗璜</w:t>
            </w:r>
            <w:bookmarkEnd w:id="0"/>
            <w:r>
              <w:rPr>
                <w:rFonts w:hint="eastAsia"/>
                <w:sz w:val="24"/>
                <w:szCs w:val="24"/>
                <w:lang w:val="en-US" w:eastAsia="zh-CN"/>
              </w:rPr>
              <w:t xml:space="preserve">     </w:t>
            </w:r>
            <w:r>
              <w:rPr>
                <w:rFonts w:hint="eastAsia"/>
                <w:sz w:val="24"/>
                <w:szCs w:val="24"/>
              </w:rPr>
              <w:t>陪同人员：</w:t>
            </w:r>
            <w:r>
              <w:rPr>
                <w:rFonts w:hint="eastAsia"/>
                <w:sz w:val="24"/>
                <w:szCs w:val="24"/>
                <w:lang w:eastAsia="zh-CN"/>
              </w:rPr>
              <w:t>韩林</w:t>
            </w:r>
          </w:p>
        </w:tc>
        <w:tc>
          <w:tcPr>
            <w:tcW w:w="999"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160" w:type="dxa"/>
            <w:vMerge w:val="continue"/>
            <w:vAlign w:val="center"/>
          </w:tcPr>
          <w:p/>
        </w:tc>
        <w:tc>
          <w:tcPr>
            <w:tcW w:w="960" w:type="dxa"/>
            <w:vMerge w:val="continue"/>
            <w:vAlign w:val="center"/>
          </w:tcPr>
          <w:p/>
        </w:tc>
        <w:tc>
          <w:tcPr>
            <w:tcW w:w="10590" w:type="dxa"/>
            <w:vAlign w:val="center"/>
          </w:tcPr>
          <w:p>
            <w:pPr>
              <w:spacing w:before="120"/>
            </w:pPr>
            <w:r>
              <w:rPr>
                <w:rFonts w:hint="eastAsia"/>
                <w:sz w:val="24"/>
                <w:szCs w:val="24"/>
              </w:rPr>
              <w:t>审核员：</w:t>
            </w:r>
            <w:bookmarkStart w:id="1" w:name="审核组成员不含组长"/>
            <w:r>
              <w:rPr>
                <w:rFonts w:hint="eastAsia"/>
                <w:sz w:val="24"/>
                <w:szCs w:val="24"/>
                <w:lang w:eastAsia="zh-CN"/>
              </w:rPr>
              <w:t>褚敏杰、</w:t>
            </w:r>
            <w:r>
              <w:rPr>
                <w:rFonts w:hint="eastAsia"/>
                <w:sz w:val="24"/>
                <w:szCs w:val="24"/>
              </w:rPr>
              <w:t>王悦</w:t>
            </w:r>
            <w:bookmarkEnd w:id="1"/>
            <w:r>
              <w:rPr>
                <w:rFonts w:hint="eastAsia"/>
                <w:sz w:val="24"/>
                <w:szCs w:val="24"/>
                <w:lang w:val="en-US" w:eastAsia="zh-CN"/>
              </w:rPr>
              <w:t xml:space="preserve">            审核时间：</w:t>
            </w:r>
            <w:bookmarkStart w:id="2" w:name="审核日期"/>
            <w:r>
              <w:rPr>
                <w:rFonts w:hint="eastAsia"/>
                <w:sz w:val="24"/>
                <w:szCs w:val="24"/>
                <w:lang w:val="en-US" w:eastAsia="zh-CN"/>
              </w:rPr>
              <w:t>2022年07月21日</w:t>
            </w:r>
            <w:bookmarkEnd w:id="2"/>
          </w:p>
        </w:tc>
        <w:tc>
          <w:tcPr>
            <w:tcW w:w="999"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160" w:type="dxa"/>
            <w:vMerge w:val="continue"/>
            <w:vAlign w:val="center"/>
          </w:tcPr>
          <w:p/>
        </w:tc>
        <w:tc>
          <w:tcPr>
            <w:tcW w:w="960" w:type="dxa"/>
            <w:vMerge w:val="continue"/>
            <w:vAlign w:val="center"/>
          </w:tcPr>
          <w:p/>
        </w:tc>
        <w:tc>
          <w:tcPr>
            <w:tcW w:w="10590" w:type="dxa"/>
            <w:vAlign w:val="center"/>
          </w:tcPr>
          <w:p>
            <w:pPr>
              <w:rPr>
                <w:rFonts w:hint="eastAsia"/>
                <w:sz w:val="24"/>
                <w:szCs w:val="24"/>
              </w:rPr>
            </w:pPr>
            <w:r>
              <w:rPr>
                <w:rFonts w:hint="eastAsia"/>
                <w:sz w:val="24"/>
                <w:szCs w:val="24"/>
              </w:rPr>
              <w:t>审核条款：</w:t>
            </w:r>
          </w:p>
          <w:p>
            <w:pPr>
              <w:adjustRightInd w:val="0"/>
              <w:snapToGrid w:val="0"/>
              <w:spacing w:line="240" w:lineRule="auto"/>
              <w:ind w:right="105" w:rightChars="50"/>
              <w:jc w:val="both"/>
              <w:textAlignment w:val="baseline"/>
              <w:rPr>
                <w:rFonts w:hint="eastAsia" w:ascii="宋体" w:hAnsi="宋体" w:cs="Arial"/>
                <w:spacing w:val="-6"/>
                <w:sz w:val="21"/>
                <w:szCs w:val="21"/>
              </w:rPr>
            </w:pPr>
            <w:r>
              <w:rPr>
                <w:rFonts w:hint="eastAsia" w:ascii="宋体" w:hAnsi="宋体" w:cs="Arial"/>
                <w:spacing w:val="-6"/>
                <w:sz w:val="21"/>
                <w:szCs w:val="21"/>
              </w:rPr>
              <w:t>QMS:4.1理解组织及其环境、4.2理解相关方的需求和期望、4.3 确定管理体系的范围、4.4质量管理体系及其过程、5.1领导作用和承诺、5.2质量方针、5.3组织的岗位、职责和权限、6.1应对风险和机遇的措施、6.2质量目标及其实现的策划、6.3变更的策划、7.1资源、7.4沟通、9.3管理评审、10.1改进、10.3持续改进</w:t>
            </w:r>
          </w:p>
          <w:p>
            <w:pPr>
              <w:adjustRightInd w:val="0"/>
              <w:snapToGrid w:val="0"/>
              <w:spacing w:line="240" w:lineRule="auto"/>
              <w:ind w:right="105" w:rightChars="50"/>
              <w:jc w:val="both"/>
              <w:textAlignment w:val="baseline"/>
              <w:rPr>
                <w:rFonts w:hint="default" w:ascii="宋体" w:hAnsi="宋体" w:eastAsia="宋体" w:cs="Arial"/>
                <w:spacing w:val="-6"/>
                <w:sz w:val="21"/>
                <w:szCs w:val="21"/>
                <w:lang w:val="en-US" w:eastAsia="zh-CN"/>
              </w:rPr>
            </w:pPr>
            <w:r>
              <w:rPr>
                <w:rFonts w:hint="eastAsia" w:ascii="宋体" w:hAnsi="宋体" w:eastAsia="宋体" w:cs="Arial"/>
                <w:spacing w:val="-6"/>
                <w:sz w:val="21"/>
                <w:szCs w:val="21"/>
                <w:lang w:val="en-US" w:eastAsia="zh-CN"/>
              </w:rPr>
              <w:t>8.3删减确认</w:t>
            </w:r>
          </w:p>
          <w:p>
            <w:pPr>
              <w:spacing w:line="240" w:lineRule="auto"/>
              <w:rPr>
                <w:rFonts w:hint="eastAsia"/>
                <w:sz w:val="24"/>
                <w:szCs w:val="24"/>
              </w:rPr>
            </w:pPr>
            <w:r>
              <w:rPr>
                <w:rFonts w:hint="eastAsia" w:ascii="宋体" w:hAnsi="宋体" w:eastAsia="宋体" w:cs="Arial"/>
                <w:color w:val="auto"/>
                <w:spacing w:val="-6"/>
                <w:sz w:val="21"/>
                <w:szCs w:val="21"/>
                <w:u w:val="none"/>
                <w:lang w:val="en-US" w:eastAsia="zh-CN"/>
              </w:rPr>
              <w:t>标准/规范/法规的执行情况、上次审核不符合项的验证、认证证书、标志的使用情况、投诉或事故、监督抽查情况、体系变动</w:t>
            </w:r>
          </w:p>
        </w:tc>
        <w:tc>
          <w:tcPr>
            <w:tcW w:w="999"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160" w:type="dxa"/>
            <w:vAlign w:val="center"/>
          </w:tcPr>
          <w:p>
            <w:pPr>
              <w:rPr>
                <w:rFonts w:hint="default" w:ascii="Times New Roman" w:hAnsi="Times New Roman" w:eastAsia="宋体" w:cs="Times New Roman"/>
                <w:b/>
                <w:kern w:val="2"/>
                <w:sz w:val="21"/>
                <w:szCs w:val="24"/>
                <w:lang w:val="en-US" w:eastAsia="zh-CN" w:bidi="ar-SA"/>
              </w:rPr>
            </w:pPr>
            <w:r>
              <w:rPr>
                <w:rFonts w:hint="default" w:ascii="Times New Roman" w:hAnsi="Times New Roman" w:cs="Times New Roman"/>
                <w:szCs w:val="24"/>
              </w:rPr>
              <w:t>理解组织及其环境</w:t>
            </w:r>
          </w:p>
        </w:tc>
        <w:tc>
          <w:tcPr>
            <w:tcW w:w="960" w:type="dxa"/>
            <w:vAlign w:val="center"/>
          </w:tcPr>
          <w:p>
            <w:pPr>
              <w:rPr>
                <w:rFonts w:hint="eastAsia" w:ascii="Times New Roman" w:hAnsi="Times New Roman" w:eastAsia="宋体" w:cs="Times New Roman"/>
                <w:b/>
                <w:kern w:val="2"/>
                <w:sz w:val="21"/>
                <w:szCs w:val="24"/>
                <w:lang w:val="en-US" w:eastAsia="zh-CN" w:bidi="ar-SA"/>
              </w:rPr>
            </w:pPr>
            <w:r>
              <w:rPr>
                <w:rFonts w:hint="eastAsia" w:asciiTheme="minorEastAsia" w:hAnsiTheme="minorEastAsia" w:eastAsiaTheme="minorEastAsia" w:cstheme="minorEastAsia"/>
                <w:szCs w:val="24"/>
              </w:rPr>
              <w:t>Q</w:t>
            </w:r>
            <w:r>
              <w:rPr>
                <w:rFonts w:hint="eastAsia" w:asciiTheme="minorEastAsia" w:hAnsiTheme="minorEastAsia" w:eastAsiaTheme="minorEastAsia" w:cstheme="minorEastAsia"/>
                <w:szCs w:val="24"/>
                <w:lang w:eastAsia="zh-CN"/>
              </w:rPr>
              <w:t>：</w:t>
            </w:r>
            <w:r>
              <w:rPr>
                <w:rFonts w:hint="eastAsia" w:asciiTheme="minorEastAsia" w:hAnsiTheme="minorEastAsia" w:eastAsiaTheme="minorEastAsia" w:cstheme="minorEastAsia"/>
                <w:szCs w:val="24"/>
              </w:rPr>
              <w:t>4.1</w:t>
            </w:r>
          </w:p>
        </w:tc>
        <w:tc>
          <w:tcPr>
            <w:tcW w:w="10590" w:type="dxa"/>
            <w:vAlign w:val="center"/>
          </w:tcPr>
          <w:p>
            <w:pPr>
              <w:spacing w:line="360" w:lineRule="auto"/>
              <w:ind w:firstLine="420" w:firstLineChars="200"/>
              <w:rPr>
                <w:rFonts w:hint="eastAsia" w:ascii="Times New Roman" w:hAnsi="Times New Roman" w:eastAsia="宋体" w:cs="Times New Roman"/>
                <w:color w:val="auto"/>
                <w:szCs w:val="22"/>
                <w:highlight w:val="none"/>
                <w:lang w:val="zh-CN" w:eastAsia="zh-CN"/>
              </w:rPr>
            </w:pPr>
            <w:r>
              <w:rPr>
                <w:rFonts w:hint="eastAsia" w:ascii="Times New Roman" w:hAnsi="Times New Roman" w:eastAsia="宋体" w:cs="Times New Roman"/>
                <w:color w:val="auto"/>
                <w:szCs w:val="22"/>
                <w:highlight w:val="none"/>
                <w:lang w:val="zh-CN" w:eastAsia="zh-CN"/>
              </w:rPr>
              <w:t>江西好望投资咨询有限公司成立于2014年2月17日，</w:t>
            </w:r>
            <w:r>
              <w:rPr>
                <w:rFonts w:hint="eastAsia" w:ascii="Times New Roman" w:hAnsi="Times New Roman" w:eastAsia="宋体" w:cs="Times New Roman"/>
                <w:color w:val="auto"/>
                <w:szCs w:val="22"/>
                <w:highlight w:val="none"/>
                <w:lang w:val="en-US" w:eastAsia="zh-CN"/>
              </w:rPr>
              <w:t>注册资金200万元</w:t>
            </w:r>
            <w:r>
              <w:rPr>
                <w:rFonts w:hint="eastAsia" w:ascii="Times New Roman" w:hAnsi="Times New Roman" w:eastAsia="宋体" w:cs="Times New Roman"/>
                <w:color w:val="auto"/>
                <w:szCs w:val="22"/>
                <w:highlight w:val="none"/>
                <w:lang w:val="zh-CN" w:eastAsia="zh-CN"/>
              </w:rPr>
              <w:t>；</w:t>
            </w:r>
          </w:p>
          <w:p>
            <w:pPr>
              <w:spacing w:line="360" w:lineRule="auto"/>
              <w:ind w:firstLine="420" w:firstLineChars="200"/>
              <w:rPr>
                <w:rFonts w:hint="eastAsia" w:ascii="Times New Roman" w:hAnsi="Times New Roman" w:eastAsia="宋体" w:cs="Times New Roman"/>
                <w:color w:val="auto"/>
                <w:szCs w:val="22"/>
                <w:highlight w:val="none"/>
                <w:lang w:val="zh-CN" w:eastAsia="zh-CN"/>
              </w:rPr>
            </w:pPr>
            <w:r>
              <w:rPr>
                <w:rFonts w:hint="eastAsia" w:ascii="Times New Roman" w:hAnsi="Times New Roman" w:eastAsia="宋体" w:cs="Times New Roman"/>
                <w:color w:val="auto"/>
                <w:szCs w:val="22"/>
                <w:highlight w:val="none"/>
                <w:lang w:val="en-US" w:eastAsia="zh-CN"/>
              </w:rPr>
              <w:t>注册</w:t>
            </w:r>
            <w:r>
              <w:rPr>
                <w:rFonts w:hint="eastAsia" w:ascii="Times New Roman" w:hAnsi="Times New Roman" w:eastAsia="宋体" w:cs="Times New Roman"/>
                <w:color w:val="auto"/>
                <w:szCs w:val="22"/>
                <w:highlight w:val="none"/>
                <w:lang w:val="zh-CN" w:eastAsia="zh-CN"/>
              </w:rPr>
              <w:t>地址：江西省南昌市青山湖区湖滨东路1269号青山湖香溢花城二区16栋二单元401室（第4层）；</w:t>
            </w:r>
          </w:p>
          <w:p>
            <w:pPr>
              <w:spacing w:line="360" w:lineRule="auto"/>
              <w:ind w:firstLine="420" w:firstLineChars="200"/>
              <w:rPr>
                <w:rFonts w:hint="eastAsia" w:ascii="Times New Roman" w:hAnsi="Times New Roman" w:eastAsia="宋体" w:cs="Times New Roman"/>
                <w:color w:val="auto"/>
                <w:szCs w:val="22"/>
                <w:highlight w:val="none"/>
                <w:lang w:val="zh-CN" w:eastAsia="zh-CN"/>
              </w:rPr>
            </w:pPr>
            <w:r>
              <w:rPr>
                <w:rFonts w:hint="eastAsia" w:ascii="Times New Roman" w:hAnsi="Times New Roman" w:eastAsia="宋体" w:cs="Times New Roman"/>
                <w:color w:val="auto"/>
                <w:szCs w:val="22"/>
                <w:highlight w:val="none"/>
                <w:lang w:val="en-US" w:eastAsia="zh-CN"/>
              </w:rPr>
              <w:t>经营</w:t>
            </w:r>
            <w:r>
              <w:rPr>
                <w:rFonts w:hint="eastAsia" w:ascii="Times New Roman" w:hAnsi="Times New Roman" w:eastAsia="宋体" w:cs="Times New Roman"/>
                <w:color w:val="auto"/>
                <w:szCs w:val="22"/>
                <w:highlight w:val="none"/>
                <w:lang w:val="zh-CN" w:eastAsia="zh-CN"/>
              </w:rPr>
              <w:t>地址：江西省南昌经济技术开发区昌北庐山南大道；</w:t>
            </w:r>
          </w:p>
          <w:p>
            <w:pPr>
              <w:spacing w:line="360" w:lineRule="auto"/>
              <w:ind w:firstLine="420" w:firstLineChars="200"/>
              <w:rPr>
                <w:rFonts w:hint="eastAsia"/>
                <w:color w:val="auto"/>
                <w:szCs w:val="22"/>
                <w:highlight w:val="none"/>
                <w:lang w:val="en-US" w:eastAsia="zh-CN"/>
              </w:rPr>
            </w:pPr>
            <w:r>
              <w:rPr>
                <w:rFonts w:hint="eastAsia" w:ascii="Times New Roman" w:hAnsi="Times New Roman" w:eastAsia="宋体" w:cs="Times New Roman"/>
                <w:color w:val="auto"/>
                <w:szCs w:val="22"/>
                <w:highlight w:val="none"/>
                <w:lang w:val="en-US" w:eastAsia="zh-CN"/>
              </w:rPr>
              <w:t>公司现有十余人，主要设备有投影仪、打印机</w:t>
            </w:r>
            <w:r>
              <w:rPr>
                <w:rFonts w:hint="eastAsia"/>
                <w:color w:val="auto"/>
                <w:szCs w:val="22"/>
                <w:highlight w:val="none"/>
                <w:lang w:val="en-US" w:eastAsia="zh-CN"/>
              </w:rPr>
              <w:t>、台式电脑和笔记本电脑等，现有的设备基本能够满足业务服务要求。</w:t>
            </w:r>
          </w:p>
          <w:p>
            <w:pPr>
              <w:spacing w:line="360" w:lineRule="auto"/>
              <w:ind w:firstLine="420" w:firstLineChars="200"/>
              <w:rPr>
                <w:rFonts w:hint="eastAsia"/>
                <w:szCs w:val="22"/>
                <w:highlight w:val="none"/>
                <w:lang w:val="en-US" w:eastAsia="zh-CN"/>
              </w:rPr>
            </w:pPr>
            <w:r>
              <w:rPr>
                <w:rFonts w:hint="eastAsia"/>
                <w:szCs w:val="22"/>
                <w:highlight w:val="none"/>
                <w:lang w:val="en-US" w:eastAsia="zh-CN"/>
              </w:rPr>
              <w:t>营业执照范围：</w:t>
            </w:r>
            <w:r>
              <w:rPr>
                <w:rFonts w:hint="eastAsia"/>
                <w:szCs w:val="22"/>
                <w:highlight w:val="none"/>
                <w:lang w:val="zh-CN"/>
              </w:rPr>
              <w:t>主要</w:t>
            </w:r>
            <w:r>
              <w:rPr>
                <w:rFonts w:hint="eastAsia"/>
                <w:szCs w:val="22"/>
                <w:highlight w:val="none"/>
                <w:lang w:val="en-US" w:eastAsia="zh-CN"/>
              </w:rPr>
              <w:t>经营投资咨询（金融、证券、期货、保险除外）；工程监理、招标代理、造价咨询等，覆盖了认证范围：</w:t>
            </w:r>
          </w:p>
          <w:p>
            <w:pPr>
              <w:spacing w:line="360" w:lineRule="auto"/>
              <w:ind w:firstLine="420" w:firstLineChars="200"/>
              <w:rPr>
                <w:rFonts w:hint="default"/>
                <w:b w:val="0"/>
                <w:bCs w:val="0"/>
                <w:lang w:val="en-US" w:eastAsia="zh-CN"/>
              </w:rPr>
            </w:pPr>
            <w:r>
              <w:rPr>
                <w:rFonts w:hint="default"/>
                <w:b w:val="0"/>
                <w:bCs w:val="0"/>
                <w:lang w:val="en-US" w:eastAsia="zh-CN"/>
              </w:rPr>
              <w:t>Q：招标代理</w:t>
            </w:r>
          </w:p>
          <w:p>
            <w:pPr>
              <w:spacing w:line="360" w:lineRule="auto"/>
              <w:ind w:firstLine="420" w:firstLineChars="200"/>
              <w:rPr>
                <w:rFonts w:hint="eastAsia"/>
                <w:highlight w:val="none"/>
              </w:rPr>
            </w:pPr>
            <w:r>
              <w:rPr>
                <w:rFonts w:hint="eastAsia"/>
                <w:highlight w:val="none"/>
              </w:rPr>
              <w:t>公司定期汇总分析市场情况，包括行业发展情况，相关企业产品分析，竞品分析，行业政策跟踪，以保证随时掌握行业及竞争企业的发展动态，为研发及业务拓展提供决策依据；确定与本公司管理目标和战略方向相关并影响实现管理体系预期结果的各种内部因素（公司的价值观、文化、知识、绩效等相关因素）和外部因素（国际、国家、地区和当地的各种法律法规、技术、竞争、文化和社会因素等），如：</w:t>
            </w:r>
          </w:p>
          <w:p>
            <w:pPr>
              <w:spacing w:line="360" w:lineRule="auto"/>
              <w:ind w:firstLine="420" w:firstLineChars="200"/>
              <w:rPr>
                <w:rFonts w:hint="eastAsia"/>
                <w:highlight w:val="none"/>
              </w:rPr>
            </w:pPr>
            <w:r>
              <w:rPr>
                <w:rFonts w:hint="eastAsia"/>
                <w:highlight w:val="none"/>
              </w:rPr>
              <w:t>外部因素——</w:t>
            </w:r>
            <w:r>
              <w:rPr>
                <w:rFonts w:hint="eastAsia"/>
                <w:highlight w:val="none"/>
                <w:lang w:val="en-US" w:eastAsia="zh-CN"/>
              </w:rPr>
              <w:t>国家政策</w:t>
            </w:r>
            <w:r>
              <w:rPr>
                <w:rFonts w:hint="eastAsia"/>
                <w:highlight w:val="none"/>
              </w:rPr>
              <w:t>变动、竞争对手、客户需求的变化等；</w:t>
            </w:r>
          </w:p>
          <w:p>
            <w:pPr>
              <w:spacing w:line="360" w:lineRule="auto"/>
              <w:ind w:firstLine="420" w:firstLineChars="200"/>
              <w:rPr>
                <w:rFonts w:hint="eastAsia"/>
                <w:highlight w:val="none"/>
              </w:rPr>
            </w:pPr>
            <w:r>
              <w:rPr>
                <w:rFonts w:hint="eastAsia"/>
                <w:highlight w:val="none"/>
              </w:rPr>
              <w:t>内部因素</w:t>
            </w:r>
            <w:r>
              <w:rPr>
                <w:rFonts w:hint="eastAsia"/>
                <w:highlight w:val="none"/>
                <w:lang w:eastAsia="zh-CN"/>
              </w:rPr>
              <w:t>——</w:t>
            </w:r>
            <w:r>
              <w:rPr>
                <w:rFonts w:hint="eastAsia"/>
                <w:highlight w:val="none"/>
              </w:rPr>
              <w:t>公司文化、内部管理机制的建立、人员稳定性、经验等；</w:t>
            </w:r>
          </w:p>
          <w:p>
            <w:pPr>
              <w:spacing w:line="360" w:lineRule="auto"/>
              <w:ind w:firstLine="420" w:firstLineChars="200"/>
              <w:rPr>
                <w:rFonts w:hint="eastAsia"/>
                <w:highlight w:val="none"/>
              </w:rPr>
            </w:pPr>
            <w:r>
              <w:rPr>
                <w:rFonts w:hint="eastAsia"/>
                <w:highlight w:val="none"/>
              </w:rPr>
              <w:t>这些因素包括了需要考虑的正面和负面因素或条件。</w:t>
            </w:r>
          </w:p>
          <w:p>
            <w:pPr>
              <w:spacing w:line="360" w:lineRule="auto"/>
              <w:ind w:firstLine="420" w:firstLineChars="200"/>
              <w:rPr>
                <w:rFonts w:hint="default" w:ascii="Times New Roman" w:hAnsi="Times New Roman" w:eastAsia="宋体" w:cs="Times New Roman"/>
                <w:kern w:val="2"/>
                <w:sz w:val="21"/>
                <w:szCs w:val="24"/>
                <w:lang w:val="de-DE" w:eastAsia="zh-CN" w:bidi="ar-SA"/>
              </w:rPr>
            </w:pPr>
            <w:r>
              <w:rPr>
                <w:rFonts w:hint="eastAsia"/>
                <w:highlight w:val="none"/>
              </w:rPr>
              <w:t>公司每年根据从市场、客户、网络等搜集到的信息并结合公司自身业务运作情况进行分析，通过分析对这些内部和外部因素的相关信息进行监视和评审以确保其充分和适宜。</w:t>
            </w:r>
          </w:p>
        </w:tc>
        <w:tc>
          <w:tcPr>
            <w:tcW w:w="999" w:type="dxa"/>
            <w:vAlign w:val="center"/>
          </w:tcPr>
          <w:p>
            <w:pPr>
              <w:jc w:val="center"/>
              <w:rPr>
                <w:rFonts w:hint="default" w:ascii="Times New Roman" w:hAnsi="Times New Roman" w:eastAsia="宋体" w:cs="Times New Roman"/>
                <w:kern w:val="2"/>
                <w:sz w:val="24"/>
                <w:szCs w:val="24"/>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160" w:type="dxa"/>
            <w:vAlign w:val="center"/>
          </w:tcPr>
          <w:p>
            <w:pPr>
              <w:rPr>
                <w:rFonts w:hint="default" w:ascii="Times New Roman" w:hAnsi="Times New Roman" w:eastAsia="宋体" w:cs="Times New Roman"/>
                <w:b/>
                <w:kern w:val="2"/>
                <w:sz w:val="21"/>
                <w:szCs w:val="24"/>
                <w:lang w:val="en-US" w:eastAsia="zh-CN" w:bidi="ar-SA"/>
              </w:rPr>
            </w:pPr>
            <w:r>
              <w:rPr>
                <w:rFonts w:hint="default" w:ascii="Times New Roman" w:hAnsi="Times New Roman" w:cs="Times New Roman"/>
                <w:szCs w:val="24"/>
              </w:rPr>
              <w:t>理解相关方的需求和期望</w:t>
            </w:r>
          </w:p>
        </w:tc>
        <w:tc>
          <w:tcPr>
            <w:tcW w:w="960" w:type="dxa"/>
            <w:vAlign w:val="center"/>
          </w:tcPr>
          <w:p>
            <w:pPr>
              <w:jc w:val="center"/>
              <w:rPr>
                <w:rFonts w:hint="default" w:asciiTheme="minorEastAsia" w:hAnsiTheme="minorEastAsia" w:eastAsiaTheme="minorEastAsia" w:cstheme="minorEastAsia"/>
                <w:kern w:val="2"/>
                <w:sz w:val="21"/>
                <w:szCs w:val="24"/>
                <w:lang w:val="en-US" w:eastAsia="zh-CN" w:bidi="ar-SA"/>
              </w:rPr>
            </w:pPr>
            <w:r>
              <w:rPr>
                <w:rFonts w:hint="default" w:asciiTheme="minorEastAsia" w:hAnsiTheme="minorEastAsia" w:eastAsiaTheme="minorEastAsia" w:cstheme="minorEastAsia"/>
                <w:szCs w:val="24"/>
              </w:rPr>
              <w:t>Q：4.2</w:t>
            </w:r>
          </w:p>
        </w:tc>
        <w:tc>
          <w:tcPr>
            <w:tcW w:w="10590" w:type="dxa"/>
            <w:vAlign w:val="center"/>
          </w:tcPr>
          <w:p>
            <w:pPr>
              <w:spacing w:line="360" w:lineRule="auto"/>
              <w:ind w:firstLine="420" w:firstLineChars="200"/>
              <w:rPr>
                <w:rFonts w:hint="default" w:ascii="Times New Roman" w:hAnsi="Times New Roman" w:cs="Times New Roman"/>
                <w:color w:val="000000"/>
                <w:szCs w:val="24"/>
              </w:rPr>
            </w:pPr>
            <w:r>
              <w:rPr>
                <w:rFonts w:hint="default" w:ascii="Times New Roman" w:hAnsi="Times New Roman" w:cs="Times New Roman"/>
                <w:color w:val="000000"/>
                <w:szCs w:val="24"/>
              </w:rPr>
              <w:t>相关方包括</w:t>
            </w:r>
            <w:r>
              <w:rPr>
                <w:rFonts w:hint="eastAsia"/>
                <w:szCs w:val="22"/>
                <w:highlight w:val="none"/>
                <w:lang w:val="en-US" w:eastAsia="zh-CN"/>
              </w:rPr>
              <w:t>主要包括顾客/最终消费者、员工、政府、外部供方、竞争对手、社会相邻单位</w:t>
            </w:r>
            <w:r>
              <w:rPr>
                <w:rFonts w:hint="default" w:ascii="Times New Roman" w:hAnsi="Times New Roman" w:cs="Times New Roman"/>
                <w:color w:val="000000"/>
                <w:szCs w:val="24"/>
              </w:rPr>
              <w:t>等。相关方期望和要求为价格、安全性、合同协议、行业规范标准等。识别的方法为：主动调查、水平对比等。检测指标或项目：顾客满意度、客户投诉率、供方评价表等。</w:t>
            </w:r>
          </w:p>
          <w:p>
            <w:pPr>
              <w:spacing w:line="360" w:lineRule="auto"/>
              <w:ind w:firstLine="420" w:firstLineChars="200"/>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szCs w:val="24"/>
              </w:rPr>
              <w:t>基本识别了与组织管理体系有关的相关方和要求</w:t>
            </w:r>
            <w:r>
              <w:rPr>
                <w:rFonts w:hint="default" w:ascii="Times New Roman" w:hAnsi="Times New Roman" w:cs="Times New Roman"/>
                <w:szCs w:val="24"/>
                <w:lang w:val="zh-CN"/>
              </w:rPr>
              <w:t>。</w:t>
            </w:r>
          </w:p>
        </w:tc>
        <w:tc>
          <w:tcPr>
            <w:tcW w:w="999" w:type="dxa"/>
            <w:vAlign w:val="center"/>
          </w:tcPr>
          <w:p>
            <w:pPr>
              <w:jc w:val="center"/>
              <w:rPr>
                <w:rFonts w:hint="default" w:ascii="Times New Roman" w:hAnsi="Times New Roman" w:eastAsia="宋体" w:cs="Times New Roman"/>
                <w:kern w:val="2"/>
                <w:sz w:val="24"/>
                <w:szCs w:val="24"/>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160" w:type="dxa"/>
            <w:vAlign w:val="center"/>
          </w:tcPr>
          <w:p>
            <w:pPr>
              <w:rPr>
                <w:rFonts w:hint="eastAsia" w:ascii="Times New Roman" w:hAnsi="Times New Roman" w:eastAsia="宋体" w:cs="Times New Roman"/>
                <w:b w:val="0"/>
                <w:kern w:val="2"/>
                <w:sz w:val="21"/>
                <w:szCs w:val="22"/>
                <w:lang w:val="en-US" w:eastAsia="zh-CN" w:bidi="ar-SA"/>
              </w:rPr>
            </w:pPr>
            <w:r>
              <w:rPr>
                <w:rFonts w:hint="eastAsia" w:ascii="Times New Roman" w:hAnsi="Times New Roman" w:eastAsia="宋体" w:cs="Times New Roman"/>
                <w:b w:val="0"/>
                <w:kern w:val="2"/>
                <w:sz w:val="21"/>
                <w:szCs w:val="22"/>
                <w:lang w:val="en-US" w:eastAsia="zh-CN" w:bidi="ar-SA"/>
              </w:rPr>
              <w:t>应对风险和机遇的措施</w:t>
            </w:r>
          </w:p>
          <w:p>
            <w:pPr>
              <w:rPr>
                <w:rFonts w:hint="eastAsia" w:ascii="Times New Roman" w:hAnsi="Times New Roman" w:eastAsia="宋体" w:cs="Times New Roman"/>
                <w:b w:val="0"/>
                <w:kern w:val="2"/>
                <w:sz w:val="21"/>
                <w:szCs w:val="22"/>
                <w:lang w:val="en-US" w:eastAsia="zh-CN" w:bidi="ar-SA"/>
              </w:rPr>
            </w:pPr>
            <w:r>
              <w:rPr>
                <w:rFonts w:hint="eastAsia" w:ascii="Times New Roman" w:hAnsi="Times New Roman" w:eastAsia="宋体" w:cs="Times New Roman"/>
                <w:b w:val="0"/>
                <w:kern w:val="2"/>
                <w:sz w:val="21"/>
                <w:szCs w:val="22"/>
                <w:lang w:val="en-US" w:eastAsia="zh-CN" w:bidi="ar-SA"/>
              </w:rPr>
              <w:t>确定管理体系的范围</w:t>
            </w:r>
          </w:p>
          <w:p>
            <w:pPr>
              <w:rPr>
                <w:rFonts w:hint="eastAsia" w:ascii="Times New Roman" w:hAnsi="Times New Roman" w:eastAsia="宋体" w:cs="Times New Roman"/>
                <w:b w:val="0"/>
                <w:kern w:val="2"/>
                <w:sz w:val="21"/>
                <w:szCs w:val="22"/>
                <w:lang w:val="en-US" w:eastAsia="zh-CN" w:bidi="ar-SA"/>
              </w:rPr>
            </w:pPr>
            <w:r>
              <w:rPr>
                <w:rFonts w:hint="eastAsia" w:ascii="Times New Roman" w:hAnsi="Times New Roman" w:eastAsia="宋体" w:cs="Times New Roman"/>
                <w:b w:val="0"/>
                <w:kern w:val="2"/>
                <w:sz w:val="21"/>
                <w:szCs w:val="22"/>
                <w:lang w:val="en-US" w:eastAsia="zh-CN" w:bidi="ar-SA"/>
              </w:rPr>
              <w:t>管理体系及其过程</w:t>
            </w:r>
          </w:p>
          <w:p>
            <w:pPr>
              <w:rPr>
                <w:rFonts w:hint="eastAsia" w:ascii="Times New Roman" w:hAnsi="Times New Roman" w:eastAsia="宋体" w:cs="Times New Roman"/>
                <w:b w:val="0"/>
                <w:kern w:val="2"/>
                <w:sz w:val="21"/>
                <w:szCs w:val="22"/>
                <w:lang w:val="en-US" w:eastAsia="zh-CN" w:bidi="ar-SA"/>
              </w:rPr>
            </w:pPr>
            <w:r>
              <w:rPr>
                <w:rFonts w:hint="eastAsia" w:ascii="Times New Roman" w:hAnsi="Times New Roman" w:eastAsia="宋体" w:cs="Times New Roman"/>
                <w:b w:val="0"/>
                <w:kern w:val="2"/>
                <w:sz w:val="21"/>
                <w:szCs w:val="22"/>
                <w:lang w:val="en-US" w:eastAsia="zh-CN" w:bidi="ar-SA"/>
              </w:rPr>
              <w:t>变更的策划</w:t>
            </w:r>
          </w:p>
          <w:p>
            <w:pPr>
              <w:rPr>
                <w:rFonts w:hint="default" w:ascii="Times New Roman" w:hAnsi="Times New Roman" w:eastAsia="宋体" w:cs="Times New Roman"/>
                <w:b w:val="0"/>
                <w:kern w:val="2"/>
                <w:sz w:val="21"/>
                <w:szCs w:val="22"/>
                <w:lang w:val="en-US" w:eastAsia="zh-CN" w:bidi="ar-SA"/>
              </w:rPr>
            </w:pPr>
            <w:r>
              <w:rPr>
                <w:rFonts w:hint="eastAsia" w:ascii="Times New Roman" w:hAnsi="Times New Roman" w:eastAsia="宋体" w:cs="Times New Roman"/>
                <w:b w:val="0"/>
                <w:kern w:val="2"/>
                <w:sz w:val="21"/>
                <w:szCs w:val="22"/>
                <w:lang w:val="en-US" w:eastAsia="zh-CN" w:bidi="ar-SA"/>
              </w:rPr>
              <w:t>体系变动情况</w:t>
            </w:r>
          </w:p>
          <w:p>
            <w:pPr>
              <w:pStyle w:val="3"/>
              <w:jc w:val="both"/>
              <w:rPr>
                <w:rFonts w:hint="default" w:ascii="宋体" w:hAnsi="宋体" w:eastAsia="宋体" w:cs="Times New Roman"/>
                <w:b/>
                <w:kern w:val="2"/>
                <w:sz w:val="52"/>
                <w:lang w:val="en-US" w:eastAsia="zh-CN" w:bidi="ar-SA"/>
              </w:rPr>
            </w:pPr>
            <w:r>
              <w:rPr>
                <w:rFonts w:hint="eastAsia" w:ascii="Times New Roman" w:hAnsi="Times New Roman" w:eastAsia="宋体" w:cs="Times New Roman"/>
                <w:b w:val="0"/>
                <w:kern w:val="2"/>
                <w:sz w:val="21"/>
                <w:szCs w:val="22"/>
                <w:lang w:val="en-US" w:eastAsia="zh-CN" w:bidi="ar-SA"/>
              </w:rPr>
              <w:t>删减确认</w:t>
            </w:r>
          </w:p>
        </w:tc>
        <w:tc>
          <w:tcPr>
            <w:tcW w:w="960" w:type="dxa"/>
            <w:vAlign w:val="center"/>
          </w:tcPr>
          <w:p>
            <w:pPr>
              <w:jc w:val="center"/>
              <w:rPr>
                <w:rFonts w:hint="eastAsia" w:asciiTheme="minorEastAsia" w:hAnsiTheme="minorEastAsia" w:eastAsiaTheme="minorEastAsia" w:cstheme="minorEastAsia"/>
                <w:szCs w:val="24"/>
                <w:lang w:val="en-US" w:eastAsia="zh-CN"/>
              </w:rPr>
            </w:pPr>
            <w:r>
              <w:rPr>
                <w:rFonts w:hint="default" w:asciiTheme="minorEastAsia" w:hAnsiTheme="minorEastAsia" w:eastAsiaTheme="minorEastAsia" w:cstheme="minorEastAsia"/>
                <w:szCs w:val="24"/>
              </w:rPr>
              <w:t>Q：</w:t>
            </w:r>
            <w:r>
              <w:rPr>
                <w:rFonts w:hint="eastAsia" w:asciiTheme="minorEastAsia" w:hAnsiTheme="minorEastAsia" w:eastAsiaTheme="minorEastAsia" w:cstheme="minorEastAsia"/>
                <w:szCs w:val="24"/>
                <w:lang w:val="en-US" w:eastAsia="zh-CN"/>
              </w:rPr>
              <w:t>6.1</w:t>
            </w:r>
          </w:p>
          <w:p>
            <w:pPr>
              <w:jc w:val="center"/>
              <w:rPr>
                <w:rFonts w:hint="eastAsia"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4.3</w:t>
            </w:r>
          </w:p>
          <w:p>
            <w:pPr>
              <w:jc w:val="center"/>
              <w:rPr>
                <w:rFonts w:hint="eastAsia"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4.4</w:t>
            </w:r>
          </w:p>
          <w:p>
            <w:pPr>
              <w:jc w:val="center"/>
              <w:rPr>
                <w:rFonts w:hint="default" w:asciiTheme="minorEastAsia" w:hAnsiTheme="minorEastAsia" w:eastAsiaTheme="minorEastAsia" w:cstheme="minorEastAsia"/>
                <w:szCs w:val="24"/>
              </w:rPr>
            </w:pPr>
            <w:r>
              <w:rPr>
                <w:rFonts w:hint="eastAsia" w:asciiTheme="minorEastAsia" w:hAnsiTheme="minorEastAsia" w:eastAsiaTheme="minorEastAsia" w:cstheme="minorEastAsia"/>
                <w:szCs w:val="24"/>
                <w:lang w:val="en-US" w:eastAsia="zh-CN"/>
              </w:rPr>
              <w:t>6.3</w:t>
            </w:r>
          </w:p>
          <w:p>
            <w:pPr>
              <w:jc w:val="center"/>
              <w:rPr>
                <w:rFonts w:hint="default"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szCs w:val="24"/>
                <w:lang w:val="en-US" w:eastAsia="zh-CN"/>
              </w:rPr>
              <w:t>8.3</w:t>
            </w:r>
          </w:p>
        </w:tc>
        <w:tc>
          <w:tcPr>
            <w:tcW w:w="10590" w:type="dxa"/>
            <w:vAlign w:val="center"/>
          </w:tcPr>
          <w:p>
            <w:pPr>
              <w:spacing w:line="360" w:lineRule="auto"/>
              <w:ind w:firstLine="420" w:firstLineChars="200"/>
              <w:rPr>
                <w:rFonts w:hint="eastAsia"/>
                <w:lang w:val="en-US" w:eastAsia="zh-CN"/>
              </w:rPr>
            </w:pPr>
            <w:r>
              <w:rPr>
                <w:rFonts w:hint="eastAsia"/>
                <w:lang w:val="en-US" w:eastAsia="zh-CN"/>
              </w:rPr>
              <w:t>基于对4.1和4.2的考虑，分析了公司存在的风险和机遇：</w:t>
            </w:r>
          </w:p>
          <w:p>
            <w:pPr>
              <w:spacing w:line="360" w:lineRule="auto"/>
              <w:ind w:firstLine="420" w:firstLineChars="200"/>
              <w:rPr>
                <w:rFonts w:hint="default"/>
                <w:lang w:val="en-US" w:eastAsia="zh-CN"/>
              </w:rPr>
            </w:pPr>
            <w:r>
              <w:rPr>
                <w:rFonts w:hint="eastAsia"/>
                <w:lang w:val="en-US" w:eastAsia="zh-CN"/>
              </w:rPr>
              <w:t>机遇：政策影响和经济发展的走势，</w:t>
            </w:r>
            <w:r>
              <w:rPr>
                <w:rFonts w:hint="default"/>
                <w:lang w:val="en-US" w:eastAsia="zh-CN"/>
              </w:rPr>
              <w:t>对企业有较好的</w:t>
            </w:r>
            <w:r>
              <w:rPr>
                <w:rFonts w:hint="eastAsia"/>
                <w:lang w:val="en-US" w:eastAsia="zh-CN"/>
              </w:rPr>
              <w:t>的发展机遇</w:t>
            </w:r>
            <w:r>
              <w:rPr>
                <w:rFonts w:hint="default"/>
                <w:lang w:val="en-US" w:eastAsia="zh-CN"/>
              </w:rPr>
              <w:t>。</w:t>
            </w:r>
          </w:p>
          <w:p>
            <w:pPr>
              <w:spacing w:line="360" w:lineRule="auto"/>
              <w:ind w:firstLine="420" w:firstLineChars="200"/>
              <w:rPr>
                <w:rFonts w:hint="default"/>
                <w:lang w:val="en-US" w:eastAsia="zh-CN"/>
              </w:rPr>
            </w:pPr>
            <w:r>
              <w:rPr>
                <w:rFonts w:hint="eastAsia"/>
                <w:lang w:val="en-US" w:eastAsia="zh-CN"/>
              </w:rPr>
              <w:t>风险：产业政策的变化可能给公司带来发展的风险</w:t>
            </w:r>
            <w:r>
              <w:rPr>
                <w:rFonts w:hint="default"/>
                <w:lang w:val="en-US" w:eastAsia="zh-CN"/>
              </w:rPr>
              <w:t>。</w:t>
            </w:r>
          </w:p>
          <w:p>
            <w:pPr>
              <w:spacing w:line="360" w:lineRule="auto"/>
              <w:ind w:firstLine="420" w:firstLineChars="200"/>
              <w:rPr>
                <w:rFonts w:hint="eastAsia"/>
                <w:lang w:val="en-US" w:eastAsia="zh-CN"/>
              </w:rPr>
            </w:pPr>
            <w:r>
              <w:rPr>
                <w:rFonts w:hint="default"/>
                <w:lang w:val="en-US" w:eastAsia="zh-CN"/>
              </w:rPr>
              <w:t>编制有《风险和机遇的应对控制程序》，对组织内外的风险和机遇进行了策划。</w:t>
            </w:r>
            <w:r>
              <w:rPr>
                <w:rFonts w:hint="eastAsia"/>
                <w:lang w:val="en-US" w:eastAsia="zh-CN"/>
              </w:rPr>
              <w:t>介绍说，公司</w:t>
            </w:r>
            <w:r>
              <w:rPr>
                <w:rFonts w:hint="default"/>
                <w:lang w:val="en-US" w:eastAsia="zh-CN"/>
              </w:rPr>
              <w:t>识别了风险和机遇来源、风险和机遇内容、管理措施、责任部门、实时时间、评价措施等</w:t>
            </w:r>
            <w:r>
              <w:rPr>
                <w:rFonts w:hint="eastAsia"/>
                <w:lang w:val="en-US" w:eastAsia="zh-CN"/>
              </w:rPr>
              <w:t>；</w:t>
            </w:r>
          </w:p>
          <w:p>
            <w:pPr>
              <w:spacing w:line="360" w:lineRule="auto"/>
              <w:ind w:firstLine="420" w:firstLineChars="200"/>
              <w:rPr>
                <w:rFonts w:hint="eastAsia"/>
                <w:lang w:val="en-US" w:eastAsia="zh-CN"/>
              </w:rPr>
            </w:pPr>
            <w:r>
              <w:rPr>
                <w:rFonts w:hint="eastAsia"/>
                <w:lang w:val="en-US" w:eastAsia="zh-CN"/>
              </w:rPr>
              <w:t>为应对相应风险和机遇，公司依据GB/T19001-2016标准的要求并结合本公司的具体情况，采取PDCA的过程方法，建立、实施、保持并持续改进质量管理体系。</w:t>
            </w:r>
          </w:p>
          <w:p>
            <w:pPr>
              <w:spacing w:line="360" w:lineRule="auto"/>
              <w:ind w:firstLine="420" w:firstLineChars="200"/>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质量管理体系于2020年11月10日建立并正式实施。</w:t>
            </w:r>
          </w:p>
          <w:p>
            <w:pPr>
              <w:spacing w:line="360" w:lineRule="auto"/>
              <w:ind w:firstLine="420" w:firstLineChars="200"/>
              <w:rPr>
                <w:rFonts w:hint="eastAsia"/>
                <w:lang w:val="en-US" w:eastAsia="zh-CN"/>
              </w:rPr>
            </w:pPr>
            <w:r>
              <w:rPr>
                <w:rFonts w:hint="eastAsia"/>
                <w:lang w:val="en-US" w:eastAsia="zh-CN"/>
              </w:rPr>
              <w:t>识别了目标管理、资源管理、文件管理、采购、生产制备、绩效监测、改进等过程。</w:t>
            </w:r>
          </w:p>
          <w:p>
            <w:pPr>
              <w:spacing w:line="360" w:lineRule="auto"/>
              <w:ind w:firstLine="420" w:firstLineChars="200"/>
              <w:rPr>
                <w:rFonts w:hint="default" w:ascii="Times New Roman" w:hAnsi="Times New Roman" w:cs="Times New Roman"/>
                <w:szCs w:val="24"/>
              </w:rPr>
            </w:pPr>
            <w:r>
              <w:rPr>
                <w:rFonts w:hint="default" w:ascii="Times New Roman" w:hAnsi="Times New Roman" w:cs="Times New Roman"/>
                <w:szCs w:val="24"/>
              </w:rPr>
              <w:t>经确认企业的管理体系范围是：</w:t>
            </w:r>
          </w:p>
          <w:p>
            <w:pPr>
              <w:spacing w:line="360" w:lineRule="auto"/>
              <w:ind w:firstLine="420" w:firstLineChars="200"/>
              <w:rPr>
                <w:rFonts w:hint="default"/>
                <w:b w:val="0"/>
                <w:bCs w:val="0"/>
                <w:lang w:val="en-US" w:eastAsia="zh-CN"/>
              </w:rPr>
            </w:pPr>
            <w:r>
              <w:rPr>
                <w:rFonts w:hint="default"/>
                <w:b w:val="0"/>
                <w:bCs w:val="0"/>
                <w:lang w:val="en-US" w:eastAsia="zh-CN"/>
              </w:rPr>
              <w:t>Q：招标代理</w:t>
            </w:r>
          </w:p>
          <w:p>
            <w:pPr>
              <w:spacing w:line="360" w:lineRule="auto"/>
              <w:ind w:firstLine="420" w:firstLineChars="200"/>
              <w:rPr>
                <w:rFonts w:hint="default"/>
                <w:szCs w:val="22"/>
                <w:lang w:val="en-US" w:eastAsia="zh-CN"/>
              </w:rPr>
            </w:pPr>
            <w:r>
              <w:rPr>
                <w:rFonts w:hint="eastAsia" w:ascii="宋体" w:hAnsi="宋体"/>
              </w:rPr>
              <w:t>接受采购人的委托→编制招标文件→评审招标文件→发布招标公告→接受投标人报名→开标前抽取评标专家→接收投标文件→现场开标→评标定标→</w:t>
            </w:r>
            <w:r>
              <w:rPr>
                <w:rFonts w:ascii="宋体" w:hAnsi="宋体"/>
              </w:rPr>
              <w:t>发布中标结果通知书</w:t>
            </w:r>
            <w:r>
              <w:rPr>
                <w:rFonts w:hint="eastAsia" w:ascii="宋体" w:hAnsi="宋体"/>
              </w:rPr>
              <w:t>；</w:t>
            </w:r>
          </w:p>
          <w:p>
            <w:pPr>
              <w:spacing w:line="360" w:lineRule="auto"/>
              <w:ind w:firstLine="420" w:firstLineChars="200"/>
              <w:rPr>
                <w:rFonts w:hint="eastAsia"/>
                <w:szCs w:val="22"/>
                <w:lang w:val="en-US" w:eastAsia="zh-CN"/>
              </w:rPr>
            </w:pPr>
            <w:r>
              <w:rPr>
                <w:rFonts w:hint="eastAsia"/>
                <w:szCs w:val="22"/>
                <w:lang w:val="en-US" w:eastAsia="zh-CN"/>
              </w:rPr>
              <w:t>关键过程有：</w:t>
            </w:r>
            <w:r>
              <w:rPr>
                <w:rFonts w:hint="eastAsia" w:ascii="宋体" w:hAnsi="宋体"/>
              </w:rPr>
              <w:t>制定招标文件、开标过程</w:t>
            </w:r>
          </w:p>
          <w:p>
            <w:pPr>
              <w:spacing w:line="360" w:lineRule="auto"/>
              <w:ind w:firstLine="420" w:firstLineChars="200"/>
              <w:rPr>
                <w:rFonts w:hint="default"/>
                <w:b w:val="0"/>
                <w:bCs w:val="0"/>
                <w:szCs w:val="22"/>
                <w:lang w:val="en-US" w:eastAsia="zh-CN"/>
              </w:rPr>
            </w:pPr>
            <w:r>
              <w:rPr>
                <w:rFonts w:hint="eastAsia"/>
                <w:b w:val="0"/>
                <w:bCs w:val="0"/>
                <w:szCs w:val="22"/>
                <w:lang w:val="en-US" w:eastAsia="zh-CN"/>
              </w:rPr>
              <w:t>编制有政府采购文件编制质量控制制度、政府采购活动操作规程进行控制。</w:t>
            </w:r>
          </w:p>
          <w:p>
            <w:pPr>
              <w:spacing w:line="360" w:lineRule="auto"/>
              <w:ind w:firstLine="420" w:firstLineChars="200"/>
              <w:rPr>
                <w:rFonts w:hint="eastAsia" w:ascii="宋体" w:hAnsi="宋体" w:cs="宋体"/>
                <w:bCs/>
                <w:sz w:val="21"/>
                <w:szCs w:val="21"/>
              </w:rPr>
            </w:pPr>
            <w:r>
              <w:rPr>
                <w:rFonts w:hint="eastAsia"/>
                <w:lang w:val="en-US" w:eastAsia="zh-CN"/>
              </w:rPr>
              <w:t>删减条款Q8.3，</w:t>
            </w:r>
            <w:r>
              <w:rPr>
                <w:rFonts w:hint="eastAsia" w:ascii="宋体" w:hAnsi="宋体" w:cs="宋体"/>
                <w:bCs/>
                <w:sz w:val="21"/>
                <w:szCs w:val="21"/>
              </w:rPr>
              <w:t>本公司招标代理及其所涉及的相关管理活动均</w:t>
            </w:r>
            <w:r>
              <w:rPr>
                <w:rFonts w:hint="eastAsia" w:ascii="宋体" w:hAnsi="宋体" w:cs="宋体"/>
                <w:bCs/>
                <w:sz w:val="21"/>
                <w:szCs w:val="21"/>
                <w:lang w:val="en-US" w:eastAsia="zh-CN"/>
              </w:rPr>
              <w:t>按照国家相关法律法规</w:t>
            </w:r>
            <w:r>
              <w:rPr>
                <w:rFonts w:hint="eastAsia" w:ascii="宋体" w:hAnsi="宋体" w:cs="宋体"/>
                <w:bCs/>
                <w:sz w:val="21"/>
                <w:szCs w:val="21"/>
              </w:rPr>
              <w:t>及客户提出的要求</w:t>
            </w:r>
            <w:r>
              <w:rPr>
                <w:rFonts w:hint="eastAsia" w:ascii="宋体" w:hAnsi="宋体" w:cs="宋体"/>
                <w:bCs/>
                <w:sz w:val="21"/>
                <w:szCs w:val="21"/>
                <w:lang w:val="en-US" w:eastAsia="zh-CN"/>
              </w:rPr>
              <w:t>进行</w:t>
            </w:r>
            <w:r>
              <w:rPr>
                <w:rFonts w:hint="eastAsia" w:ascii="宋体" w:hAnsi="宋体" w:cs="宋体"/>
                <w:bCs/>
                <w:sz w:val="21"/>
                <w:szCs w:val="21"/>
              </w:rPr>
              <w:t>，其服务过程中不涉及的标准条款内容是：GB/T19001-2016/ISO 9001：2015标准中的8.3条款。其不适用性不影响公司的服务。</w:t>
            </w:r>
          </w:p>
          <w:p>
            <w:pPr>
              <w:spacing w:line="360" w:lineRule="auto"/>
              <w:ind w:firstLine="420" w:firstLineChars="200"/>
              <w:rPr>
                <w:rFonts w:hint="default" w:ascii="Times New Roman" w:hAnsi="Times New Roman" w:eastAsia="宋体" w:cs="Times New Roman"/>
                <w:kern w:val="2"/>
                <w:sz w:val="21"/>
                <w:szCs w:val="24"/>
                <w:lang w:val="en-US" w:eastAsia="zh-CN" w:bidi="ar-SA"/>
              </w:rPr>
            </w:pPr>
            <w:r>
              <w:rPr>
                <w:rFonts w:hint="eastAsia" w:ascii="宋体" w:hAnsi="宋体" w:cs="宋体"/>
                <w:bCs/>
                <w:sz w:val="21"/>
                <w:szCs w:val="21"/>
                <w:lang w:val="en-US" w:eastAsia="zh-CN"/>
              </w:rPr>
              <w:t>公司管理体系运行以来尚未发生变更。</w:t>
            </w:r>
          </w:p>
        </w:tc>
        <w:tc>
          <w:tcPr>
            <w:tcW w:w="999" w:type="dxa"/>
            <w:vAlign w:val="center"/>
          </w:tcPr>
          <w:p>
            <w:pPr>
              <w:jc w:val="center"/>
              <w:rPr>
                <w:rFonts w:hint="default" w:ascii="Times New Roman" w:hAnsi="Times New Roman" w:eastAsia="宋体" w:cs="Times New Roman"/>
                <w:kern w:val="2"/>
                <w:sz w:val="24"/>
                <w:szCs w:val="24"/>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vAlign w:val="center"/>
          </w:tcPr>
          <w:p>
            <w:pPr>
              <w:rPr>
                <w:rFonts w:hint="default" w:ascii="Times New Roman" w:hAnsi="Times New Roman" w:cs="Times New Roman"/>
                <w:szCs w:val="24"/>
              </w:rPr>
            </w:pPr>
            <w:r>
              <w:rPr>
                <w:rFonts w:hint="default" w:ascii="Times New Roman" w:hAnsi="Times New Roman" w:cs="Times New Roman"/>
                <w:szCs w:val="24"/>
              </w:rPr>
              <w:t>领导作用和承诺</w:t>
            </w:r>
          </w:p>
          <w:p>
            <w:pPr>
              <w:rPr>
                <w:rFonts w:hint="default" w:ascii="Times New Roman" w:hAnsi="Times New Roman" w:eastAsia="宋体" w:cs="Times New Roman"/>
                <w:b/>
                <w:kern w:val="2"/>
                <w:sz w:val="21"/>
                <w:szCs w:val="24"/>
                <w:lang w:val="en-US" w:eastAsia="zh-CN" w:bidi="ar-SA"/>
              </w:rPr>
            </w:pPr>
            <w:r>
              <w:rPr>
                <w:rFonts w:hint="eastAsia" w:ascii="Times New Roman" w:hAnsi="Times New Roman" w:cs="Times New Roman"/>
                <w:szCs w:val="24"/>
              </w:rPr>
              <w:t>组织的岗位职责和权限</w:t>
            </w:r>
          </w:p>
        </w:tc>
        <w:tc>
          <w:tcPr>
            <w:tcW w:w="0" w:type="auto"/>
            <w:vAlign w:val="center"/>
          </w:tcPr>
          <w:p>
            <w:pPr>
              <w:jc w:val="center"/>
              <w:rPr>
                <w:rFonts w:hint="default" w:asciiTheme="minorEastAsia" w:hAnsiTheme="minorEastAsia" w:eastAsiaTheme="minorEastAsia" w:cstheme="minorEastAsia"/>
                <w:szCs w:val="24"/>
              </w:rPr>
            </w:pPr>
            <w:r>
              <w:rPr>
                <w:rFonts w:hint="default" w:asciiTheme="minorEastAsia" w:hAnsiTheme="minorEastAsia" w:eastAsiaTheme="minorEastAsia" w:cstheme="minorEastAsia"/>
                <w:szCs w:val="24"/>
              </w:rPr>
              <w:t>Q：5.1</w:t>
            </w:r>
          </w:p>
          <w:p>
            <w:pPr>
              <w:jc w:val="center"/>
              <w:rPr>
                <w:rFonts w:hint="default" w:ascii="Times New Roman" w:hAnsi="Times New Roman" w:eastAsia="宋体" w:cs="Times New Roman"/>
                <w:b/>
                <w:kern w:val="2"/>
                <w:sz w:val="21"/>
                <w:szCs w:val="24"/>
                <w:lang w:val="en-US" w:eastAsia="zh-CN" w:bidi="ar-SA"/>
              </w:rPr>
            </w:pPr>
            <w:r>
              <w:rPr>
                <w:rFonts w:hint="eastAsia" w:asciiTheme="minorEastAsia" w:hAnsiTheme="minorEastAsia" w:eastAsiaTheme="minorEastAsia" w:cstheme="minorEastAsia"/>
                <w:szCs w:val="24"/>
                <w:lang w:val="en-US" w:eastAsia="zh-CN"/>
              </w:rPr>
              <w:t>5.3</w:t>
            </w:r>
          </w:p>
        </w:tc>
        <w:tc>
          <w:tcPr>
            <w:tcW w:w="10590" w:type="dxa"/>
            <w:vAlign w:val="center"/>
          </w:tcPr>
          <w:p>
            <w:pPr>
              <w:spacing w:line="360" w:lineRule="auto"/>
              <w:ind w:firstLine="420" w:firstLineChars="200"/>
              <w:rPr>
                <w:rFonts w:hint="default" w:ascii="Times New Roman" w:hAnsi="Times New Roman" w:cs="Times New Roman"/>
                <w:color w:val="000000"/>
                <w:szCs w:val="24"/>
              </w:rPr>
            </w:pPr>
            <w:r>
              <w:rPr>
                <w:rFonts w:hint="eastAsia" w:ascii="Times New Roman" w:hAnsi="宋体"/>
                <w:sz w:val="21"/>
                <w:szCs w:val="21"/>
                <w:lang w:eastAsia="zh-CN"/>
              </w:rPr>
              <w:t>总经理主要负责</w:t>
            </w:r>
            <w:r>
              <w:rPr>
                <w:rFonts w:ascii="Times New Roman" w:hAnsi="宋体" w:eastAsia="宋体"/>
                <w:sz w:val="21"/>
                <w:szCs w:val="21"/>
              </w:rPr>
              <w:t>制定和实施公司总体战略，并根据内外部环境变化进行调整，发掘市场机会，领导创新与变革</w:t>
            </w:r>
            <w:r>
              <w:rPr>
                <w:rFonts w:hint="default" w:ascii="Times New Roman" w:hAnsi="Times New Roman" w:cs="Times New Roman"/>
                <w:color w:val="000000"/>
                <w:szCs w:val="24"/>
              </w:rPr>
              <w:t>，</w:t>
            </w:r>
            <w:r>
              <w:rPr>
                <w:rFonts w:ascii="Times New Roman" w:hAnsi="宋体" w:eastAsia="宋体"/>
                <w:kern w:val="0"/>
                <w:sz w:val="21"/>
                <w:szCs w:val="21"/>
              </w:rPr>
              <w:t>负责公司员工队伍建设，选拔中高层管理人员</w:t>
            </w:r>
            <w:r>
              <w:rPr>
                <w:rFonts w:ascii="Times New Roman" w:hAnsi="宋体" w:eastAsia="宋体"/>
                <w:sz w:val="21"/>
                <w:szCs w:val="21"/>
              </w:rPr>
              <w:t>；</w:t>
            </w:r>
            <w:r>
              <w:rPr>
                <w:rFonts w:ascii="Times New Roman" w:hAnsi="宋体" w:eastAsia="宋体"/>
                <w:kern w:val="0"/>
                <w:sz w:val="21"/>
                <w:szCs w:val="21"/>
              </w:rPr>
              <w:t>代表公司参加重大业务、外事或其它重要活动</w:t>
            </w:r>
            <w:r>
              <w:rPr>
                <w:rFonts w:ascii="Times New Roman" w:hAnsi="宋体" w:eastAsia="宋体"/>
                <w:sz w:val="21"/>
                <w:szCs w:val="21"/>
              </w:rPr>
              <w:t>；负责处理公司重大突发事件</w:t>
            </w:r>
            <w:r>
              <w:rPr>
                <w:rFonts w:hint="eastAsia" w:ascii="Times New Roman" w:hAnsi="宋体"/>
                <w:sz w:val="21"/>
                <w:szCs w:val="21"/>
                <w:lang w:eastAsia="zh-CN"/>
              </w:rPr>
              <w:t>，</w:t>
            </w:r>
            <w:r>
              <w:rPr>
                <w:rFonts w:hint="default" w:ascii="Times New Roman" w:hAnsi="Times New Roman" w:cs="Times New Roman"/>
                <w:color w:val="000000"/>
                <w:szCs w:val="24"/>
              </w:rPr>
              <w:t>根据体系的要求，负责组织制定方针、目标，管理评审等工作；</w:t>
            </w:r>
          </w:p>
          <w:p>
            <w:pPr>
              <w:spacing w:line="360" w:lineRule="auto"/>
              <w:ind w:firstLine="420" w:firstLineChars="200"/>
              <w:rPr>
                <w:rFonts w:hint="default" w:ascii="Times New Roman" w:hAnsi="Times New Roman" w:cs="Times New Roman"/>
                <w:szCs w:val="24"/>
              </w:rPr>
            </w:pPr>
            <w:r>
              <w:rPr>
                <w:rFonts w:hint="default" w:ascii="Times New Roman" w:hAnsi="Times New Roman" w:cs="Times New Roman"/>
                <w:szCs w:val="24"/>
              </w:rPr>
              <w:t>管代</w:t>
            </w:r>
            <w:r>
              <w:rPr>
                <w:rFonts w:hint="eastAsia"/>
                <w:color w:val="auto"/>
                <w:sz w:val="21"/>
                <w:szCs w:val="21"/>
                <w:lang w:val="en-US" w:eastAsia="zh-CN"/>
              </w:rPr>
              <w:t>罗璜</w:t>
            </w:r>
            <w:r>
              <w:rPr>
                <w:rFonts w:hint="default" w:ascii="Times New Roman" w:hAnsi="Times New Roman" w:cs="Times New Roman"/>
                <w:szCs w:val="24"/>
              </w:rPr>
              <w:t>，主要负责公司行政及体系工作。</w:t>
            </w:r>
          </w:p>
          <w:p>
            <w:pPr>
              <w:spacing w:line="360" w:lineRule="auto"/>
              <w:ind w:firstLine="420" w:firstLineChars="200"/>
              <w:rPr>
                <w:rFonts w:hint="eastAsia"/>
                <w:color w:val="auto"/>
                <w:szCs w:val="22"/>
                <w:highlight w:val="none"/>
                <w:lang w:val="en-US" w:eastAsia="zh-CN"/>
              </w:rPr>
            </w:pPr>
            <w:r>
              <w:rPr>
                <w:rFonts w:hint="default" w:ascii="Times New Roman" w:hAnsi="Times New Roman" w:cs="Times New Roman"/>
                <w:szCs w:val="24"/>
              </w:rPr>
              <w:t>对部门及其职责进行了规定，</w:t>
            </w:r>
            <w:r>
              <w:rPr>
                <w:rFonts w:hint="eastAsia"/>
                <w:color w:val="auto"/>
                <w:szCs w:val="22"/>
                <w:highlight w:val="none"/>
                <w:lang w:val="en-US" w:eastAsia="zh-CN"/>
              </w:rPr>
              <w:t>公司设置有业务部、招标部、资料部等。</w:t>
            </w:r>
          </w:p>
          <w:p>
            <w:pPr>
              <w:spacing w:line="360" w:lineRule="auto"/>
              <w:ind w:firstLine="420" w:firstLineChars="200"/>
              <w:rPr>
                <w:rFonts w:hint="default" w:ascii="Times New Roman" w:hAnsi="Times New Roman" w:cs="Times New Roman"/>
                <w:szCs w:val="24"/>
              </w:rPr>
            </w:pPr>
            <w:r>
              <w:rPr>
                <w:rFonts w:hint="default" w:ascii="Times New Roman" w:hAnsi="Times New Roman" w:cs="Times New Roman"/>
                <w:szCs w:val="24"/>
              </w:rPr>
              <w:t>编制了岗位职责汇编，以文件上发的形式沟通各部门的职责及各部门之间工作的联系。</w:t>
            </w:r>
          </w:p>
          <w:p>
            <w:pPr>
              <w:spacing w:line="360" w:lineRule="auto"/>
              <w:ind w:firstLine="420" w:firstLineChars="200"/>
              <w:rPr>
                <w:rFonts w:hint="default" w:ascii="Times New Roman" w:hAnsi="宋体" w:eastAsia="宋体" w:cs="Times New Roman"/>
                <w:kern w:val="0"/>
                <w:sz w:val="21"/>
                <w:szCs w:val="21"/>
              </w:rPr>
            </w:pPr>
            <w:r>
              <w:rPr>
                <w:rFonts w:hint="default" w:ascii="Times New Roman" w:hAnsi="宋体" w:eastAsia="宋体" w:cs="Times New Roman"/>
                <w:kern w:val="0"/>
                <w:sz w:val="21"/>
                <w:szCs w:val="21"/>
              </w:rPr>
              <w:t>1、确保本公司</w:t>
            </w:r>
            <w:r>
              <w:rPr>
                <w:rFonts w:hint="eastAsia" w:ascii="Times New Roman" w:hAnsi="宋体" w:eastAsia="宋体" w:cs="Times New Roman"/>
                <w:kern w:val="0"/>
                <w:sz w:val="21"/>
                <w:szCs w:val="21"/>
                <w:lang w:eastAsia="zh-CN"/>
              </w:rPr>
              <w:t>质量管理</w:t>
            </w:r>
            <w:r>
              <w:rPr>
                <w:rFonts w:hint="default" w:ascii="Times New Roman" w:hAnsi="宋体" w:eastAsia="宋体" w:cs="Times New Roman"/>
                <w:kern w:val="0"/>
                <w:sz w:val="21"/>
                <w:szCs w:val="21"/>
              </w:rPr>
              <w:t>体系所需的过程得到建立、实施和保持；</w:t>
            </w:r>
          </w:p>
          <w:p>
            <w:pPr>
              <w:spacing w:line="360" w:lineRule="auto"/>
              <w:ind w:firstLine="420" w:firstLineChars="200"/>
              <w:rPr>
                <w:rFonts w:hint="default" w:ascii="Times New Roman" w:hAnsi="宋体" w:eastAsia="宋体" w:cs="Times New Roman"/>
                <w:kern w:val="0"/>
                <w:sz w:val="21"/>
                <w:szCs w:val="21"/>
              </w:rPr>
            </w:pPr>
            <w:r>
              <w:rPr>
                <w:rFonts w:hint="default" w:ascii="Times New Roman" w:hAnsi="宋体" w:eastAsia="宋体" w:cs="Times New Roman"/>
                <w:kern w:val="0"/>
                <w:sz w:val="21"/>
                <w:szCs w:val="21"/>
              </w:rPr>
              <w:t>2、向总经理报告体系运行的业绩，包括改进的需求；</w:t>
            </w:r>
          </w:p>
          <w:p>
            <w:pPr>
              <w:spacing w:line="360" w:lineRule="auto"/>
              <w:ind w:firstLine="420" w:firstLineChars="200"/>
              <w:rPr>
                <w:rFonts w:hint="default" w:ascii="Times New Roman" w:hAnsi="宋体" w:eastAsia="宋体" w:cs="Times New Roman"/>
                <w:kern w:val="0"/>
                <w:sz w:val="21"/>
                <w:szCs w:val="21"/>
              </w:rPr>
            </w:pPr>
            <w:r>
              <w:rPr>
                <w:rFonts w:hint="default" w:ascii="Times New Roman" w:hAnsi="宋体" w:eastAsia="宋体" w:cs="Times New Roman"/>
                <w:kern w:val="0"/>
                <w:sz w:val="21"/>
                <w:szCs w:val="21"/>
              </w:rPr>
              <w:t>3、在全公司范围内促进满足顾客要求意识</w:t>
            </w:r>
            <w:r>
              <w:rPr>
                <w:rFonts w:hint="eastAsia" w:ascii="Times New Roman" w:hAnsi="宋体" w:eastAsia="宋体" w:cs="Times New Roman"/>
                <w:kern w:val="0"/>
                <w:sz w:val="21"/>
                <w:szCs w:val="21"/>
                <w:lang w:eastAsia="zh-CN"/>
              </w:rPr>
              <w:t>及</w:t>
            </w:r>
            <w:r>
              <w:rPr>
                <w:rFonts w:hint="eastAsia" w:ascii="Times New Roman" w:hAnsi="宋体" w:eastAsia="宋体" w:cs="Times New Roman"/>
                <w:kern w:val="0"/>
                <w:sz w:val="21"/>
                <w:szCs w:val="21"/>
                <w:lang w:val="en-US" w:eastAsia="zh-CN"/>
              </w:rPr>
              <w:t>服务</w:t>
            </w:r>
            <w:r>
              <w:rPr>
                <w:rFonts w:hint="eastAsia" w:ascii="Times New Roman" w:hAnsi="宋体" w:eastAsia="宋体" w:cs="Times New Roman"/>
                <w:kern w:val="0"/>
                <w:sz w:val="21"/>
                <w:szCs w:val="21"/>
                <w:lang w:eastAsia="zh-CN"/>
              </w:rPr>
              <w:t>质量</w:t>
            </w:r>
            <w:r>
              <w:rPr>
                <w:rFonts w:hint="default" w:ascii="Times New Roman" w:hAnsi="宋体" w:eastAsia="宋体" w:cs="Times New Roman"/>
                <w:kern w:val="0"/>
                <w:sz w:val="21"/>
                <w:szCs w:val="21"/>
              </w:rPr>
              <w:t>意识的形成和提高；就体系有关事宜对外联系。</w:t>
            </w:r>
          </w:p>
          <w:p>
            <w:pPr>
              <w:spacing w:line="360" w:lineRule="auto"/>
              <w:ind w:firstLine="420" w:firstLineChars="200"/>
              <w:rPr>
                <w:rFonts w:hint="default" w:ascii="Times New Roman" w:hAnsi="Times New Roman" w:cs="Times New Roman"/>
                <w:szCs w:val="24"/>
              </w:rPr>
            </w:pPr>
            <w:r>
              <w:rPr>
                <w:rFonts w:hint="default" w:ascii="Times New Roman" w:hAnsi="Times New Roman" w:cs="Times New Roman"/>
                <w:szCs w:val="24"/>
              </w:rPr>
              <w:t>总经理主持建立了质量管理体系，对管理体系的运行和保持进行了适当的授权，提供了必需的资源，能履行其管理承诺。</w:t>
            </w:r>
          </w:p>
          <w:p>
            <w:pPr>
              <w:spacing w:line="360" w:lineRule="auto"/>
              <w:ind w:firstLine="420" w:firstLineChars="200"/>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szCs w:val="24"/>
              </w:rPr>
              <w:t>总经理和管代熟悉管理体系的基本运行情况，比较重视体系建设。</w:t>
            </w:r>
          </w:p>
        </w:tc>
        <w:tc>
          <w:tcPr>
            <w:tcW w:w="999" w:type="dxa"/>
            <w:vAlign w:val="center"/>
          </w:tcPr>
          <w:p>
            <w:pPr>
              <w:jc w:val="center"/>
              <w:rPr>
                <w:rFonts w:hint="default" w:ascii="Times New Roman" w:hAnsi="Times New Roman" w:eastAsia="宋体" w:cs="Times New Roman"/>
                <w:kern w:val="2"/>
                <w:sz w:val="24"/>
                <w:szCs w:val="24"/>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vAlign w:val="center"/>
          </w:tcPr>
          <w:p>
            <w:pPr>
              <w:rPr>
                <w:rFonts w:hint="default"/>
              </w:rPr>
            </w:pPr>
            <w:r>
              <w:rPr>
                <w:rFonts w:hint="default"/>
              </w:rPr>
              <w:t>方针</w:t>
            </w:r>
          </w:p>
          <w:p>
            <w:pPr>
              <w:pStyle w:val="4"/>
              <w:jc w:val="both"/>
              <w:rPr>
                <w:rFonts w:hint="default" w:ascii="黑体" w:hAnsi="Times New Roman" w:eastAsia="黑体" w:cs="Times New Roman"/>
                <w:b/>
                <w:kern w:val="2"/>
                <w:sz w:val="84"/>
                <w:lang w:val="en-US" w:eastAsia="zh-CN" w:bidi="ar-SA"/>
              </w:rPr>
            </w:pPr>
            <w:r>
              <w:rPr>
                <w:rFonts w:hint="default" w:ascii="Times New Roman" w:hAnsi="Times New Roman" w:eastAsia="宋体" w:cs="Times New Roman"/>
                <w:b w:val="0"/>
                <w:kern w:val="2"/>
                <w:sz w:val="21"/>
                <w:szCs w:val="22"/>
                <w:lang w:val="en-US" w:eastAsia="zh-CN" w:bidi="ar-SA"/>
              </w:rPr>
              <w:t>目标和措施计划</w:t>
            </w:r>
          </w:p>
        </w:tc>
        <w:tc>
          <w:tcPr>
            <w:tcW w:w="0" w:type="auto"/>
            <w:vAlign w:val="center"/>
          </w:tcPr>
          <w:p>
            <w:pPr>
              <w:jc w:val="center"/>
              <w:rPr>
                <w:rFonts w:hint="default" w:asciiTheme="minorEastAsia" w:hAnsiTheme="minorEastAsia" w:eastAsiaTheme="minorEastAsia" w:cstheme="minorEastAsia"/>
                <w:szCs w:val="24"/>
              </w:rPr>
            </w:pPr>
            <w:r>
              <w:rPr>
                <w:rFonts w:hint="default" w:asciiTheme="minorEastAsia" w:hAnsiTheme="minorEastAsia" w:eastAsiaTheme="minorEastAsia" w:cstheme="minorEastAsia"/>
                <w:szCs w:val="24"/>
              </w:rPr>
              <w:t xml:space="preserve">Q：5.2 </w:t>
            </w:r>
          </w:p>
          <w:p>
            <w:pPr>
              <w:jc w:val="center"/>
              <w:rPr>
                <w:rFonts w:hint="default" w:ascii="Times New Roman" w:hAnsi="Times New Roman" w:eastAsia="宋体" w:cs="Times New Roman"/>
                <w:kern w:val="2"/>
                <w:sz w:val="21"/>
                <w:szCs w:val="24"/>
                <w:lang w:val="en-US" w:eastAsia="zh-CN" w:bidi="ar-SA"/>
              </w:rPr>
            </w:pPr>
            <w:r>
              <w:rPr>
                <w:rFonts w:hint="default" w:asciiTheme="minorEastAsia" w:hAnsiTheme="minorEastAsia" w:eastAsiaTheme="minorEastAsia" w:cstheme="minorEastAsia"/>
                <w:szCs w:val="24"/>
              </w:rPr>
              <w:t xml:space="preserve">6.2 </w:t>
            </w:r>
          </w:p>
        </w:tc>
        <w:tc>
          <w:tcPr>
            <w:tcW w:w="10590" w:type="dxa"/>
            <w:vAlign w:val="center"/>
          </w:tcPr>
          <w:p>
            <w:pPr>
              <w:spacing w:line="360" w:lineRule="auto"/>
              <w:ind w:firstLine="420" w:firstLineChars="200"/>
              <w:rPr>
                <w:rFonts w:hint="default" w:ascii="Times New Roman" w:hAnsi="Times New Roman" w:cs="Times New Roman"/>
                <w:szCs w:val="24"/>
              </w:rPr>
            </w:pPr>
            <w:r>
              <w:rPr>
                <w:rFonts w:hint="default" w:ascii="Times New Roman" w:hAnsi="Times New Roman" w:cs="Times New Roman"/>
                <w:szCs w:val="24"/>
              </w:rPr>
              <w:t>1.质量方针：</w:t>
            </w:r>
          </w:p>
          <w:p>
            <w:pPr>
              <w:spacing w:line="360" w:lineRule="auto"/>
              <w:ind w:firstLine="420" w:firstLineChars="200"/>
              <w:rPr>
                <w:rFonts w:hint="default" w:ascii="Times New Roman" w:hAnsi="Times New Roman" w:cs="Times New Roman"/>
                <w:szCs w:val="24"/>
              </w:rPr>
            </w:pPr>
            <w:r>
              <w:rPr>
                <w:rFonts w:hint="default" w:ascii="Times New Roman" w:hAnsi="Times New Roman" w:cs="Times New Roman"/>
                <w:szCs w:val="24"/>
              </w:rPr>
              <w:t>以人为本，科学管理，品质一流，用户满意</w:t>
            </w:r>
          </w:p>
          <w:p>
            <w:pPr>
              <w:spacing w:line="360" w:lineRule="auto"/>
              <w:ind w:firstLine="420" w:firstLineChars="200"/>
              <w:rPr>
                <w:rFonts w:hint="default" w:ascii="Times New Roman" w:hAnsi="Times New Roman" w:cs="Times New Roman"/>
                <w:szCs w:val="24"/>
              </w:rPr>
            </w:pPr>
            <w:r>
              <w:rPr>
                <w:rFonts w:hint="default" w:ascii="Times New Roman" w:hAnsi="Times New Roman" w:cs="Times New Roman"/>
                <w:szCs w:val="24"/>
              </w:rPr>
              <w:t>与公司的宗旨相适应：以人为本，与顾客同发展，为社会创造价值；</w:t>
            </w:r>
          </w:p>
          <w:p>
            <w:pPr>
              <w:spacing w:line="360" w:lineRule="auto"/>
              <w:ind w:firstLine="420" w:firstLineChars="200"/>
              <w:rPr>
                <w:rFonts w:hint="default" w:ascii="Times New Roman" w:hAnsi="Times New Roman" w:cs="Times New Roman"/>
                <w:szCs w:val="24"/>
              </w:rPr>
            </w:pPr>
            <w:r>
              <w:rPr>
                <w:rFonts w:hint="default" w:ascii="Times New Roman" w:hAnsi="Times New Roman" w:cs="Times New Roman"/>
                <w:szCs w:val="24"/>
              </w:rPr>
              <w:t xml:space="preserve">包括了对产品质量和顾客要求以及持续改进管理体系有效性的承诺； </w:t>
            </w:r>
          </w:p>
          <w:p>
            <w:pPr>
              <w:spacing w:line="360" w:lineRule="auto"/>
              <w:ind w:firstLine="420" w:firstLineChars="200"/>
              <w:rPr>
                <w:rFonts w:hint="default" w:ascii="Times New Roman" w:hAnsi="Times New Roman" w:cs="Times New Roman"/>
                <w:szCs w:val="24"/>
              </w:rPr>
            </w:pPr>
            <w:r>
              <w:rPr>
                <w:rFonts w:hint="default" w:ascii="Times New Roman" w:hAnsi="Times New Roman" w:cs="Times New Roman"/>
                <w:szCs w:val="24"/>
              </w:rPr>
              <w:t>提供了制定和评审质量目标的框架。</w:t>
            </w:r>
          </w:p>
          <w:p>
            <w:pPr>
              <w:spacing w:line="360" w:lineRule="auto"/>
              <w:ind w:firstLine="420" w:firstLineChars="200"/>
              <w:rPr>
                <w:rFonts w:hint="default" w:ascii="Times New Roman" w:hAnsi="Times New Roman" w:cs="Times New Roman"/>
                <w:szCs w:val="24"/>
              </w:rPr>
            </w:pPr>
            <w:r>
              <w:rPr>
                <w:rFonts w:hint="default" w:ascii="Times New Roman" w:hAnsi="Times New Roman" w:cs="Times New Roman"/>
                <w:szCs w:val="24"/>
              </w:rPr>
              <w:t>方针适宜于公司现状，在管理手册中明确，通过文件发放，使员工获知，适用时提供给相关方。</w:t>
            </w:r>
          </w:p>
          <w:p>
            <w:pPr>
              <w:spacing w:line="360" w:lineRule="auto"/>
              <w:ind w:firstLine="420" w:firstLineChars="200"/>
              <w:rPr>
                <w:rFonts w:hint="eastAsia" w:ascii="Times New Roman" w:hAnsi="Times New Roman" w:eastAsia="宋体" w:cs="Times New Roman"/>
                <w:szCs w:val="24"/>
                <w:lang w:val="en-US" w:eastAsia="zh-CN"/>
              </w:rPr>
            </w:pPr>
            <w:r>
              <w:rPr>
                <w:rFonts w:hint="eastAsia" w:ascii="Times New Roman" w:hAnsi="Times New Roman" w:eastAsia="宋体" w:cs="Times New Roman"/>
                <w:szCs w:val="24"/>
                <w:lang w:val="en-US" w:eastAsia="zh-CN"/>
              </w:rPr>
              <w:t>质量目标：</w:t>
            </w:r>
          </w:p>
          <w:p>
            <w:pPr>
              <w:spacing w:line="360" w:lineRule="auto"/>
              <w:ind w:firstLine="420" w:firstLineChars="200"/>
              <w:rPr>
                <w:rFonts w:hint="eastAsia" w:ascii="Times New Roman" w:hAnsi="Times New Roman" w:eastAsia="宋体" w:cs="Times New Roman"/>
                <w:szCs w:val="24"/>
                <w:lang w:val="en-US" w:eastAsia="zh-CN"/>
              </w:rPr>
            </w:pPr>
            <w:r>
              <w:rPr>
                <w:rFonts w:hint="eastAsia" w:ascii="Times New Roman" w:hAnsi="Times New Roman" w:eastAsia="宋体" w:cs="Times New Roman"/>
                <w:szCs w:val="24"/>
                <w:lang w:val="en-US" w:eastAsia="zh-CN"/>
              </w:rPr>
              <w:t>招标代理完成及时率100%；</w:t>
            </w:r>
          </w:p>
          <w:p>
            <w:pPr>
              <w:spacing w:line="360" w:lineRule="auto"/>
              <w:ind w:firstLine="420" w:firstLineChars="200"/>
              <w:rPr>
                <w:rFonts w:hint="eastAsia" w:ascii="Times New Roman" w:hAnsi="Times New Roman" w:eastAsia="宋体" w:cs="Times New Roman"/>
                <w:szCs w:val="24"/>
                <w:lang w:val="en-US" w:eastAsia="zh-CN"/>
              </w:rPr>
            </w:pPr>
            <w:r>
              <w:rPr>
                <w:rFonts w:hint="eastAsia" w:ascii="Times New Roman" w:hAnsi="Times New Roman" w:eastAsia="宋体" w:cs="Times New Roman"/>
                <w:szCs w:val="24"/>
                <w:lang w:val="en-US" w:eastAsia="zh-CN"/>
              </w:rPr>
              <w:t>顾客满意度94分以上。</w:t>
            </w:r>
          </w:p>
          <w:p>
            <w:pPr>
              <w:spacing w:line="360" w:lineRule="auto"/>
              <w:ind w:firstLine="420" w:firstLineChars="200"/>
              <w:rPr>
                <w:rFonts w:hint="eastAsia" w:ascii="Times New Roman" w:hAnsi="Times New Roman" w:eastAsia="宋体" w:cs="Times New Roman"/>
                <w:szCs w:val="24"/>
                <w:lang w:val="en-US" w:eastAsia="zh-CN"/>
              </w:rPr>
            </w:pPr>
            <w:r>
              <w:rPr>
                <w:rFonts w:hint="eastAsia" w:ascii="Times New Roman" w:hAnsi="Times New Roman" w:eastAsia="宋体" w:cs="Times New Roman"/>
                <w:szCs w:val="24"/>
                <w:lang w:val="en-US" w:eastAsia="zh-CN"/>
              </w:rPr>
              <w:t>制定“公司目标实施措施表”，对目标实现进行了策划；并将目标分解到各部门；</w:t>
            </w:r>
          </w:p>
          <w:p>
            <w:pPr>
              <w:spacing w:line="360" w:lineRule="auto"/>
              <w:ind w:firstLine="420" w:firstLineChars="200"/>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szCs w:val="24"/>
                <w:lang w:val="en-US" w:eastAsia="zh-CN"/>
              </w:rPr>
              <w:t xml:space="preserve">“质量目标考核表”显示2022.6.30对目标完成情况进行了考核，均完成； </w:t>
            </w:r>
          </w:p>
        </w:tc>
        <w:tc>
          <w:tcPr>
            <w:tcW w:w="999" w:type="dxa"/>
            <w:vAlign w:val="center"/>
          </w:tcPr>
          <w:p>
            <w:pPr>
              <w:jc w:val="center"/>
              <w:rPr>
                <w:rFonts w:hint="default" w:ascii="Times New Roman" w:hAnsi="Times New Roman" w:eastAsia="宋体" w:cs="Times New Roman"/>
                <w:kern w:val="2"/>
                <w:sz w:val="24"/>
                <w:szCs w:val="24"/>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vAlign w:val="center"/>
          </w:tcPr>
          <w:p>
            <w:pP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szCs w:val="24"/>
              </w:rPr>
              <w:t>资源</w:t>
            </w:r>
          </w:p>
        </w:tc>
        <w:tc>
          <w:tcPr>
            <w:tcW w:w="0" w:type="auto"/>
            <w:vAlign w:val="center"/>
          </w:tcPr>
          <w:p>
            <w:pPr>
              <w:jc w:val="center"/>
              <w:rPr>
                <w:rFonts w:hint="default" w:asciiTheme="minorEastAsia" w:hAnsiTheme="minorEastAsia" w:eastAsiaTheme="minorEastAsia" w:cstheme="minorEastAsia"/>
                <w:kern w:val="2"/>
                <w:sz w:val="21"/>
                <w:szCs w:val="24"/>
                <w:lang w:val="en-US" w:eastAsia="zh-CN" w:bidi="ar-SA"/>
              </w:rPr>
            </w:pPr>
            <w:r>
              <w:rPr>
                <w:rFonts w:hint="default" w:asciiTheme="minorEastAsia" w:hAnsiTheme="minorEastAsia" w:eastAsiaTheme="minorEastAsia" w:cstheme="minorEastAsia"/>
                <w:szCs w:val="24"/>
              </w:rPr>
              <w:t>Q：7.1.1</w:t>
            </w:r>
          </w:p>
        </w:tc>
        <w:tc>
          <w:tcPr>
            <w:tcW w:w="10590" w:type="dxa"/>
            <w:vAlign w:val="center"/>
          </w:tcPr>
          <w:p>
            <w:pPr>
              <w:spacing w:line="360" w:lineRule="auto"/>
              <w:ind w:firstLine="420" w:firstLineChars="200"/>
              <w:rPr>
                <w:rFonts w:hint="eastAsia"/>
                <w:szCs w:val="22"/>
                <w:highlight w:val="none"/>
                <w:lang w:val="zh-CN"/>
              </w:rPr>
            </w:pPr>
            <w:r>
              <w:rPr>
                <w:rFonts w:hint="eastAsia"/>
                <w:szCs w:val="22"/>
                <w:highlight w:val="none"/>
                <w:lang w:val="zh-CN"/>
              </w:rPr>
              <w:t>江西好望投资咨询有限公司成立于2014年2月17日，</w:t>
            </w:r>
            <w:r>
              <w:rPr>
                <w:rFonts w:hint="eastAsia"/>
                <w:szCs w:val="22"/>
                <w:highlight w:val="none"/>
                <w:lang w:val="en-US" w:eastAsia="zh-CN"/>
              </w:rPr>
              <w:t>注册资金200万元</w:t>
            </w:r>
            <w:r>
              <w:rPr>
                <w:rFonts w:hint="eastAsia"/>
                <w:szCs w:val="22"/>
                <w:highlight w:val="none"/>
                <w:lang w:val="zh-CN"/>
              </w:rPr>
              <w:t>；</w:t>
            </w:r>
          </w:p>
          <w:p>
            <w:pPr>
              <w:spacing w:line="360" w:lineRule="auto"/>
              <w:ind w:firstLine="420" w:firstLineChars="200"/>
              <w:rPr>
                <w:rFonts w:hint="default" w:eastAsia="宋体"/>
                <w:color w:val="auto"/>
                <w:szCs w:val="22"/>
                <w:highlight w:val="none"/>
                <w:lang w:val="en-US" w:eastAsia="zh-CN"/>
              </w:rPr>
            </w:pPr>
            <w:r>
              <w:rPr>
                <w:rFonts w:hint="eastAsia"/>
                <w:szCs w:val="22"/>
                <w:highlight w:val="none"/>
                <w:lang w:val="en-US" w:eastAsia="zh-CN"/>
              </w:rPr>
              <w:t>经营</w:t>
            </w:r>
            <w:r>
              <w:rPr>
                <w:rFonts w:hint="eastAsia"/>
                <w:szCs w:val="22"/>
                <w:highlight w:val="none"/>
                <w:lang w:val="zh-CN"/>
              </w:rPr>
              <w:t>地址：江西省南昌经济技术开发区昌北庐山南大道，</w:t>
            </w:r>
            <w:r>
              <w:rPr>
                <w:rFonts w:hint="eastAsia"/>
                <w:color w:val="auto"/>
                <w:szCs w:val="22"/>
                <w:highlight w:val="none"/>
                <w:lang w:val="en-US" w:eastAsia="zh-CN"/>
              </w:rPr>
              <w:t>办公场所面积500平方米左右。</w:t>
            </w:r>
          </w:p>
          <w:p>
            <w:pPr>
              <w:spacing w:line="360" w:lineRule="auto"/>
              <w:ind w:firstLine="420" w:firstLineChars="200"/>
              <w:rPr>
                <w:rFonts w:hint="default" w:ascii="Times New Roman" w:hAnsi="Times New Roman" w:eastAsia="宋体" w:cs="Times New Roman"/>
                <w:kern w:val="2"/>
                <w:sz w:val="21"/>
                <w:szCs w:val="24"/>
                <w:lang w:val="en-US" w:eastAsia="zh-CN" w:bidi="ar-SA"/>
              </w:rPr>
            </w:pPr>
            <w:r>
              <w:rPr>
                <w:rFonts w:hint="eastAsia"/>
                <w:color w:val="auto"/>
                <w:szCs w:val="22"/>
                <w:highlight w:val="none"/>
                <w:lang w:val="en-US" w:eastAsia="zh-CN"/>
              </w:rPr>
              <w:t>公司现有人数十余人，主要设备有投影仪、打印机、台式电脑和笔记本电脑等，现有的设备基本能够满足业务服务要求。</w:t>
            </w:r>
          </w:p>
        </w:tc>
        <w:tc>
          <w:tcPr>
            <w:tcW w:w="999" w:type="dxa"/>
            <w:vAlign w:val="center"/>
          </w:tcPr>
          <w:p>
            <w:pPr>
              <w:jc w:val="center"/>
              <w:rPr>
                <w:rFonts w:hint="default" w:ascii="Times New Roman" w:hAnsi="Times New Roman" w:eastAsia="宋体" w:cs="Times New Roman"/>
                <w:kern w:val="2"/>
                <w:sz w:val="24"/>
                <w:szCs w:val="24"/>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vAlign w:val="center"/>
          </w:tcPr>
          <w:p>
            <w:pP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szCs w:val="24"/>
              </w:rPr>
              <w:t>信息交流</w:t>
            </w:r>
          </w:p>
        </w:tc>
        <w:tc>
          <w:tcPr>
            <w:tcW w:w="0" w:type="auto"/>
            <w:vAlign w:val="center"/>
          </w:tcPr>
          <w:p>
            <w:pPr>
              <w:jc w:val="center"/>
              <w:rPr>
                <w:rFonts w:hint="default" w:asciiTheme="minorEastAsia" w:hAnsiTheme="minorEastAsia" w:eastAsiaTheme="minorEastAsia" w:cstheme="minorEastAsia"/>
                <w:kern w:val="2"/>
                <w:sz w:val="21"/>
                <w:szCs w:val="24"/>
                <w:lang w:val="en-US" w:eastAsia="zh-CN" w:bidi="ar-SA"/>
              </w:rPr>
            </w:pPr>
            <w:r>
              <w:rPr>
                <w:rFonts w:hint="default" w:asciiTheme="minorEastAsia" w:hAnsiTheme="minorEastAsia" w:eastAsiaTheme="minorEastAsia" w:cstheme="minorEastAsia"/>
                <w:szCs w:val="24"/>
              </w:rPr>
              <w:t>Q：7.4</w:t>
            </w:r>
          </w:p>
        </w:tc>
        <w:tc>
          <w:tcPr>
            <w:tcW w:w="10590" w:type="dxa"/>
            <w:vAlign w:val="center"/>
          </w:tcPr>
          <w:p>
            <w:pPr>
              <w:spacing w:line="360" w:lineRule="auto"/>
              <w:ind w:firstLine="468"/>
              <w:rPr>
                <w:rFonts w:hint="default" w:ascii="Times New Roman" w:hAnsi="Times New Roman" w:cs="Times New Roman"/>
                <w:szCs w:val="24"/>
              </w:rPr>
            </w:pPr>
            <w:r>
              <w:rPr>
                <w:rFonts w:hint="default" w:ascii="Times New Roman" w:hAnsi="Times New Roman" w:cs="Times New Roman"/>
                <w:szCs w:val="24"/>
              </w:rPr>
              <w:t>组织在各部门之间建立了与体系有关的信息通渠沟道，借助于会议、电话、口头交流等方式使全体员工达到沟通和理解。目前各部门协调一致，工作上的借口基本理顺。</w:t>
            </w:r>
          </w:p>
          <w:p>
            <w:pPr>
              <w:spacing w:line="360" w:lineRule="auto"/>
              <w:ind w:firstLine="420" w:firstLineChars="200"/>
              <w:rPr>
                <w:rFonts w:hint="default" w:ascii="Times New Roman" w:hAnsi="Times New Roman" w:cs="Times New Roman"/>
                <w:szCs w:val="24"/>
              </w:rPr>
            </w:pPr>
            <w:r>
              <w:rPr>
                <w:rFonts w:hint="default" w:ascii="Times New Roman" w:hAnsi="Times New Roman" w:cs="Times New Roman"/>
                <w:szCs w:val="24"/>
              </w:rPr>
              <w:t>编制了《信息交流、协商和沟通控制程序》，确了内部外部信息交流的内容及职责，基本符合。</w:t>
            </w:r>
          </w:p>
          <w:p>
            <w:pPr>
              <w:spacing w:line="360" w:lineRule="auto"/>
              <w:ind w:firstLine="420" w:firstLineChars="200"/>
              <w:rPr>
                <w:rFonts w:hint="default" w:ascii="Times New Roman" w:hAnsi="Times New Roman" w:cs="Times New Roman"/>
                <w:szCs w:val="24"/>
              </w:rPr>
            </w:pPr>
            <w:r>
              <w:rPr>
                <w:rFonts w:hint="default" w:ascii="Times New Roman" w:hAnsi="Times New Roman" w:cs="Times New Roman"/>
                <w:szCs w:val="24"/>
              </w:rPr>
              <w:t>对外部相关方进行信息的交流方式：通过文件传真、接收通知、现场交流、合同协议、上网、施加影响等方式沟通协商，目前主要是接收上级通知；与供方通过合同就采购产品的要求进行沟通；</w:t>
            </w:r>
          </w:p>
          <w:p>
            <w:pPr>
              <w:spacing w:line="360" w:lineRule="auto"/>
              <w:ind w:firstLine="420" w:firstLineChars="200"/>
              <w:rPr>
                <w:rFonts w:hint="default" w:ascii="Times New Roman" w:hAnsi="Times New Roman" w:cs="Times New Roman"/>
                <w:szCs w:val="24"/>
              </w:rPr>
            </w:pPr>
            <w:r>
              <w:rPr>
                <w:rFonts w:hint="default" w:ascii="Times New Roman" w:hAnsi="Times New Roman" w:cs="Times New Roman"/>
                <w:szCs w:val="24"/>
              </w:rPr>
              <w:t>内部、外部沟通协商的机制已建立运行，有效。</w:t>
            </w:r>
          </w:p>
          <w:p>
            <w:pPr>
              <w:spacing w:line="360" w:lineRule="auto"/>
              <w:ind w:firstLine="420" w:firstLineChars="200"/>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szCs w:val="24"/>
              </w:rPr>
              <w:t>现场查见会议记录、通知通报、培训记录、文件签收等组织内部培训方式相关记录。现有的沟通渠道和方法能满足要求。审核中未发现因沟通不利不及时而造成（影响）某项工作不能正常运行的情况。</w:t>
            </w:r>
          </w:p>
        </w:tc>
        <w:tc>
          <w:tcPr>
            <w:tcW w:w="999" w:type="dxa"/>
            <w:vAlign w:val="center"/>
          </w:tcPr>
          <w:p>
            <w:pPr>
              <w:jc w:val="center"/>
              <w:rPr>
                <w:rFonts w:hint="default" w:ascii="Times New Roman" w:hAnsi="Times New Roman" w:eastAsia="宋体" w:cs="Times New Roman"/>
                <w:kern w:val="2"/>
                <w:sz w:val="24"/>
                <w:szCs w:val="24"/>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vAlign w:val="center"/>
          </w:tcPr>
          <w:p>
            <w:pP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szCs w:val="24"/>
              </w:rPr>
              <w:t>管理评审</w:t>
            </w:r>
          </w:p>
        </w:tc>
        <w:tc>
          <w:tcPr>
            <w:tcW w:w="0" w:type="auto"/>
            <w:vAlign w:val="center"/>
          </w:tcPr>
          <w:p>
            <w:pPr>
              <w:jc w:val="center"/>
              <w:rPr>
                <w:rFonts w:hint="default" w:asciiTheme="minorEastAsia" w:hAnsiTheme="minorEastAsia" w:eastAsiaTheme="minorEastAsia" w:cstheme="minorEastAsia"/>
                <w:kern w:val="2"/>
                <w:sz w:val="21"/>
                <w:szCs w:val="24"/>
                <w:lang w:val="en-US" w:eastAsia="zh-CN" w:bidi="ar-SA"/>
              </w:rPr>
            </w:pPr>
            <w:r>
              <w:rPr>
                <w:rFonts w:hint="default" w:asciiTheme="minorEastAsia" w:hAnsiTheme="minorEastAsia" w:eastAsiaTheme="minorEastAsia" w:cstheme="minorEastAsia"/>
                <w:szCs w:val="24"/>
              </w:rPr>
              <w:t xml:space="preserve">Q：9.3  </w:t>
            </w:r>
          </w:p>
        </w:tc>
        <w:tc>
          <w:tcPr>
            <w:tcW w:w="10590" w:type="dxa"/>
            <w:vAlign w:val="center"/>
          </w:tcPr>
          <w:p>
            <w:pPr>
              <w:spacing w:line="360" w:lineRule="auto"/>
              <w:ind w:firstLine="420" w:firstLineChars="200"/>
              <w:rPr>
                <w:rFonts w:hint="default" w:ascii="Times New Roman" w:hAnsi="Times New Roman" w:cs="Times New Roman"/>
                <w:szCs w:val="24"/>
              </w:rPr>
            </w:pPr>
            <w:r>
              <w:rPr>
                <w:rFonts w:hint="default" w:ascii="Times New Roman" w:hAnsi="Times New Roman" w:cs="Times New Roman"/>
                <w:szCs w:val="24"/>
              </w:rPr>
              <w:t>查看《管理评审程序》，</w:t>
            </w:r>
            <w:r>
              <w:rPr>
                <w:rFonts w:hint="eastAsia" w:cs="Times New Roman"/>
                <w:szCs w:val="24"/>
                <w:lang w:val="en-US" w:eastAsia="zh-CN"/>
              </w:rPr>
              <w:t>有效文件</w:t>
            </w:r>
            <w:r>
              <w:rPr>
                <w:rFonts w:hint="default" w:ascii="Times New Roman" w:hAnsi="Times New Roman" w:cs="Times New Roman"/>
                <w:szCs w:val="24"/>
              </w:rPr>
              <w:t>。</w:t>
            </w:r>
          </w:p>
          <w:p>
            <w:pPr>
              <w:spacing w:line="360" w:lineRule="auto"/>
              <w:ind w:firstLine="420" w:firstLineChars="200"/>
              <w:rPr>
                <w:rFonts w:hint="eastAsia"/>
                <w:lang w:val="en-US" w:eastAsia="zh-CN"/>
              </w:rPr>
            </w:pPr>
            <w:r>
              <w:rPr>
                <w:rFonts w:hint="eastAsia"/>
                <w:lang w:val="en-US" w:eastAsia="zh-CN"/>
              </w:rPr>
              <w:t>2022年3月9号在公司会议室由</w:t>
            </w:r>
            <w:r>
              <w:rPr>
                <w:rFonts w:hint="eastAsia"/>
                <w:color w:val="auto"/>
                <w:highlight w:val="none"/>
                <w:lang w:val="en-US" w:eastAsia="zh-CN"/>
              </w:rPr>
              <w:t>张莉萍</w:t>
            </w:r>
            <w:r>
              <w:rPr>
                <w:rFonts w:hint="eastAsia"/>
                <w:lang w:val="en-US" w:eastAsia="zh-CN"/>
              </w:rPr>
              <w:t>总经理主持召开管理评审会议；</w:t>
            </w:r>
          </w:p>
          <w:p>
            <w:pPr>
              <w:spacing w:line="360" w:lineRule="auto"/>
              <w:ind w:firstLine="420" w:firstLineChars="200"/>
              <w:rPr>
                <w:rFonts w:hint="eastAsia"/>
                <w:lang w:val="en-US" w:eastAsia="zh-CN"/>
              </w:rPr>
            </w:pPr>
            <w:r>
              <w:rPr>
                <w:rFonts w:hint="eastAsia"/>
                <w:lang w:val="en-US" w:eastAsia="zh-CN"/>
              </w:rPr>
              <w:t>保留管理评审计划、管理评审报告、管理评审会议纪要等；</w:t>
            </w:r>
          </w:p>
          <w:p>
            <w:pPr>
              <w:spacing w:line="360" w:lineRule="auto"/>
              <w:ind w:firstLine="420" w:firstLineChars="200"/>
              <w:rPr>
                <w:rFonts w:hint="eastAsia"/>
                <w:lang w:val="en-US" w:eastAsia="zh-CN"/>
              </w:rPr>
            </w:pPr>
            <w:r>
              <w:rPr>
                <w:rFonts w:hint="eastAsia"/>
                <w:lang w:val="en-US" w:eastAsia="zh-CN"/>
              </w:rPr>
              <w:t>管理评审输入未包括对上次管理评审措施的跟踪，交流；</w:t>
            </w:r>
          </w:p>
          <w:p>
            <w:pPr>
              <w:spacing w:line="360" w:lineRule="auto"/>
              <w:ind w:firstLine="420" w:firstLineChars="200"/>
              <w:rPr>
                <w:rFonts w:hint="eastAsia"/>
                <w:lang w:val="en-US" w:eastAsia="zh-CN"/>
              </w:rPr>
            </w:pPr>
            <w:r>
              <w:rPr>
                <w:rFonts w:hint="eastAsia"/>
                <w:lang w:val="en-US" w:eastAsia="zh-CN"/>
              </w:rPr>
              <w:t>管理评审结论：质量管理体系的建立和运行是充分的、适宜的、有效的。</w:t>
            </w:r>
          </w:p>
          <w:p>
            <w:pPr>
              <w:spacing w:line="360" w:lineRule="auto"/>
              <w:ind w:firstLine="420" w:firstLineChars="200"/>
              <w:rPr>
                <w:rFonts w:hint="eastAsia"/>
                <w:lang w:val="en-US" w:eastAsia="zh-CN"/>
              </w:rPr>
            </w:pPr>
            <w:r>
              <w:rPr>
                <w:rFonts w:hint="eastAsia"/>
                <w:lang w:val="en-US" w:eastAsia="zh-CN"/>
              </w:rPr>
              <w:t>改进措施要求：与顾客要求有关的服务改进。</w:t>
            </w:r>
          </w:p>
          <w:p>
            <w:pPr>
              <w:spacing w:line="360" w:lineRule="auto"/>
              <w:ind w:firstLine="420" w:firstLineChars="200"/>
              <w:rPr>
                <w:rFonts w:hint="default"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szCs w:val="22"/>
                <w:lang w:val="en-US" w:eastAsia="zh-CN"/>
              </w:rPr>
              <w:t>保留有“管理评审改进措施计划”。</w:t>
            </w:r>
          </w:p>
        </w:tc>
        <w:tc>
          <w:tcPr>
            <w:tcW w:w="999" w:type="dxa"/>
            <w:vAlign w:val="center"/>
          </w:tcPr>
          <w:p>
            <w:pPr>
              <w:jc w:val="center"/>
              <w:rPr>
                <w:rFonts w:hint="default" w:ascii="Times New Roman" w:hAnsi="Times New Roman" w:eastAsia="宋体" w:cs="Times New Roman"/>
                <w:kern w:val="2"/>
                <w:sz w:val="24"/>
                <w:szCs w:val="24"/>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vAlign w:val="center"/>
          </w:tcPr>
          <w:p>
            <w:pP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szCs w:val="24"/>
              </w:rPr>
              <w:t>改进</w:t>
            </w:r>
          </w:p>
        </w:tc>
        <w:tc>
          <w:tcPr>
            <w:tcW w:w="0" w:type="auto"/>
            <w:vAlign w:val="center"/>
          </w:tcPr>
          <w:p>
            <w:pPr>
              <w:jc w:val="center"/>
              <w:rPr>
                <w:rFonts w:hint="default" w:asciiTheme="minorEastAsia" w:hAnsiTheme="minorEastAsia" w:eastAsiaTheme="minorEastAsia" w:cstheme="minorEastAsia"/>
                <w:szCs w:val="24"/>
              </w:rPr>
            </w:pPr>
            <w:r>
              <w:rPr>
                <w:rFonts w:hint="default" w:asciiTheme="minorEastAsia" w:hAnsiTheme="minorEastAsia" w:eastAsiaTheme="minorEastAsia" w:cstheme="minorEastAsia"/>
                <w:szCs w:val="24"/>
              </w:rPr>
              <w:t>Q：10.1</w:t>
            </w:r>
          </w:p>
          <w:p>
            <w:pPr>
              <w:jc w:val="center"/>
              <w:rPr>
                <w:rFonts w:hint="default" w:asciiTheme="minorEastAsia" w:hAnsiTheme="minorEastAsia" w:eastAsiaTheme="minorEastAsia" w:cstheme="minorEastAsia"/>
                <w:kern w:val="2"/>
                <w:sz w:val="21"/>
                <w:szCs w:val="24"/>
                <w:lang w:val="en-US" w:eastAsia="zh-CN" w:bidi="ar-SA"/>
              </w:rPr>
            </w:pPr>
            <w:r>
              <w:rPr>
                <w:rFonts w:hint="default" w:asciiTheme="minorEastAsia" w:hAnsiTheme="minorEastAsia" w:eastAsiaTheme="minorEastAsia" w:cstheme="minorEastAsia"/>
                <w:szCs w:val="24"/>
              </w:rPr>
              <w:t>10.3</w:t>
            </w:r>
          </w:p>
        </w:tc>
        <w:tc>
          <w:tcPr>
            <w:tcW w:w="10590" w:type="dxa"/>
            <w:vAlign w:val="center"/>
          </w:tcPr>
          <w:p>
            <w:pPr>
              <w:snapToGrid w:val="0"/>
              <w:spacing w:line="360" w:lineRule="auto"/>
              <w:ind w:firstLine="420" w:firstLineChars="200"/>
              <w:rPr>
                <w:rFonts w:hint="default" w:ascii="Times New Roman" w:hAnsi="Times New Roman" w:cs="Times New Roman"/>
                <w:color w:val="000000"/>
                <w:szCs w:val="24"/>
              </w:rPr>
            </w:pPr>
            <w:r>
              <w:rPr>
                <w:rFonts w:hint="default" w:ascii="Times New Roman" w:hAnsi="Times New Roman" w:cs="Times New Roman"/>
                <w:color w:val="000000"/>
                <w:szCs w:val="24"/>
              </w:rPr>
              <w:t>管理者代表根据总经理意图组织持续改进过程的策划工作，由</w:t>
            </w:r>
            <w:r>
              <w:rPr>
                <w:rFonts w:hint="eastAsia" w:cs="Times New Roman"/>
                <w:color w:val="000000"/>
                <w:szCs w:val="24"/>
                <w:lang w:val="en-US" w:eastAsia="zh-CN"/>
              </w:rPr>
              <w:t>资料</w:t>
            </w:r>
            <w:r>
              <w:rPr>
                <w:rFonts w:hint="eastAsia" w:cs="Times New Roman"/>
                <w:color w:val="000000"/>
                <w:szCs w:val="24"/>
                <w:lang w:eastAsia="zh-CN"/>
              </w:rPr>
              <w:t>部</w:t>
            </w:r>
            <w:r>
              <w:rPr>
                <w:rFonts w:hint="default" w:ascii="Times New Roman" w:hAnsi="Times New Roman" w:cs="Times New Roman"/>
                <w:color w:val="000000"/>
                <w:szCs w:val="24"/>
              </w:rPr>
              <w:t>实施持续改进过程的管理。</w:t>
            </w:r>
          </w:p>
          <w:p>
            <w:pPr>
              <w:snapToGrid w:val="0"/>
              <w:spacing w:line="360" w:lineRule="auto"/>
              <w:ind w:firstLine="420" w:firstLineChars="200"/>
              <w:rPr>
                <w:rFonts w:hint="default" w:ascii="Times New Roman" w:hAnsi="Times New Roman" w:cs="Times New Roman"/>
                <w:color w:val="000000"/>
                <w:szCs w:val="24"/>
              </w:rPr>
            </w:pPr>
            <w:r>
              <w:rPr>
                <w:rFonts w:hint="default" w:ascii="Times New Roman" w:hAnsi="Times New Roman" w:cs="Times New Roman"/>
                <w:color w:val="000000"/>
                <w:szCs w:val="24"/>
              </w:rPr>
              <w:t>公司体系运行的持续改进，是通过方针、目标、管理方案的制定与实施，通过内外部的审核结果，管理评审的开展，分析和评价结果、纠正预防措施的实施，促进管理体系的持续改进。并通过对各项工作的考核，不断提出改进要求，全员的质量意识有较大的提高，持续改进了管理体系的有效性。</w:t>
            </w:r>
          </w:p>
          <w:p>
            <w:pPr>
              <w:snapToGrid w:val="0"/>
              <w:spacing w:line="360" w:lineRule="auto"/>
              <w:ind w:firstLine="420" w:firstLineChars="200"/>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szCs w:val="24"/>
              </w:rPr>
              <w:t>自体系运行以来，全员的质量意识、服务意识有较大的提高，市场经营规模有了较大发展，持续改进了管理体系的有效性。</w:t>
            </w:r>
          </w:p>
        </w:tc>
        <w:tc>
          <w:tcPr>
            <w:tcW w:w="999" w:type="dxa"/>
            <w:vAlign w:val="center"/>
          </w:tcPr>
          <w:p>
            <w:pPr>
              <w:jc w:val="center"/>
              <w:rPr>
                <w:rFonts w:hint="default" w:ascii="Times New Roman" w:hAnsi="Times New Roman" w:eastAsia="宋体" w:cs="Times New Roman"/>
                <w:kern w:val="2"/>
                <w:sz w:val="24"/>
                <w:szCs w:val="24"/>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vAlign w:val="top"/>
          </w:tcPr>
          <w:p>
            <w:pPr>
              <w:rPr>
                <w:rFonts w:hint="eastAsia" w:asciiTheme="majorEastAsia" w:hAnsiTheme="majorEastAsia" w:eastAsiaTheme="majorEastAsia" w:cstheme="majorEastAsia"/>
                <w:kern w:val="2"/>
                <w:sz w:val="21"/>
                <w:szCs w:val="21"/>
                <w:lang w:val="en-US" w:eastAsia="zh-CN" w:bidi="ar-SA"/>
              </w:rPr>
            </w:pPr>
            <w:r>
              <w:rPr>
                <w:rFonts w:hint="eastAsia" w:ascii="宋体" w:hAnsi="宋体" w:cs="Arial"/>
                <w:spacing w:val="-6"/>
                <w:sz w:val="21"/>
                <w:szCs w:val="21"/>
              </w:rPr>
              <w:t>验证资质</w:t>
            </w:r>
          </w:p>
        </w:tc>
        <w:tc>
          <w:tcPr>
            <w:tcW w:w="0" w:type="auto"/>
            <w:vAlign w:val="top"/>
          </w:tcPr>
          <w:p>
            <w:pPr>
              <w:rPr>
                <w:rFonts w:hint="eastAsia" w:asciiTheme="majorEastAsia" w:hAnsiTheme="majorEastAsia" w:eastAsiaTheme="majorEastAsia" w:cstheme="majorEastAsia"/>
                <w:kern w:val="2"/>
                <w:sz w:val="21"/>
                <w:szCs w:val="21"/>
                <w:lang w:val="en-US" w:eastAsia="zh-CN" w:bidi="ar-SA"/>
              </w:rPr>
            </w:pPr>
          </w:p>
        </w:tc>
        <w:tc>
          <w:tcPr>
            <w:tcW w:w="10590" w:type="dxa"/>
            <w:vAlign w:val="top"/>
          </w:tcPr>
          <w:p>
            <w:pPr>
              <w:spacing w:line="360" w:lineRule="auto"/>
              <w:ind w:firstLine="420" w:firstLineChars="200"/>
              <w:rPr>
                <w:rFonts w:hint="eastAsia" w:asciiTheme="majorEastAsia" w:hAnsiTheme="majorEastAsia" w:eastAsiaTheme="majorEastAsia" w:cstheme="majorEastAsia"/>
                <w:kern w:val="2"/>
                <w:sz w:val="21"/>
                <w:szCs w:val="21"/>
                <w:lang w:val="en-US" w:eastAsia="zh-CN" w:bidi="ar-SA"/>
              </w:rPr>
            </w:pPr>
            <w:r>
              <w:rPr>
                <w:rFonts w:hint="eastAsia" w:ascii="Times New Roman" w:hAnsi="Times New Roman" w:eastAsia="宋体" w:cs="Times New Roman"/>
                <w:szCs w:val="22"/>
                <w:lang w:val="en-US" w:eastAsia="zh-CN"/>
              </w:rPr>
              <w:t>经查验营业执照有效。信用平台查询，无不良信息。</w:t>
            </w:r>
          </w:p>
        </w:tc>
        <w:tc>
          <w:tcPr>
            <w:tcW w:w="999" w:type="dxa"/>
            <w:vAlign w:val="center"/>
          </w:tcPr>
          <w:p>
            <w:pPr>
              <w:jc w:val="center"/>
              <w:rPr>
                <w:rFonts w:hint="eastAsia" w:asciiTheme="majorEastAsia" w:hAnsiTheme="majorEastAsia" w:eastAsiaTheme="majorEastAsia" w:cstheme="majorEastAsia"/>
                <w:kern w:val="2"/>
                <w:sz w:val="21"/>
                <w:szCs w:val="21"/>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vAlign w:val="top"/>
          </w:tcPr>
          <w:p>
            <w:pPr>
              <w:rPr>
                <w:rFonts w:hint="eastAsia" w:asciiTheme="majorEastAsia" w:hAnsiTheme="majorEastAsia" w:eastAsiaTheme="majorEastAsia" w:cstheme="majorEastAsia"/>
                <w:kern w:val="2"/>
                <w:sz w:val="21"/>
                <w:szCs w:val="21"/>
                <w:lang w:val="en-US" w:eastAsia="zh-CN" w:bidi="ar-SA"/>
              </w:rPr>
            </w:pPr>
            <w:r>
              <w:rPr>
                <w:rFonts w:hint="eastAsia" w:ascii="宋体" w:hAnsi="宋体" w:cs="Arial"/>
                <w:spacing w:val="-6"/>
                <w:sz w:val="21"/>
                <w:szCs w:val="21"/>
              </w:rPr>
              <w:t>国家/地方抽查、顾客满意、相关方投诉处理</w:t>
            </w:r>
          </w:p>
        </w:tc>
        <w:tc>
          <w:tcPr>
            <w:tcW w:w="0" w:type="auto"/>
            <w:vAlign w:val="top"/>
          </w:tcPr>
          <w:p>
            <w:pPr>
              <w:rPr>
                <w:rFonts w:hint="eastAsia" w:asciiTheme="majorEastAsia" w:hAnsiTheme="majorEastAsia" w:eastAsiaTheme="majorEastAsia" w:cstheme="majorEastAsia"/>
                <w:kern w:val="2"/>
                <w:sz w:val="21"/>
                <w:szCs w:val="21"/>
                <w:lang w:val="en-US" w:eastAsia="zh-CN" w:bidi="ar-SA"/>
              </w:rPr>
            </w:pPr>
          </w:p>
        </w:tc>
        <w:tc>
          <w:tcPr>
            <w:tcW w:w="10590" w:type="dxa"/>
            <w:vAlign w:val="top"/>
          </w:tcPr>
          <w:p>
            <w:pPr>
              <w:spacing w:line="360" w:lineRule="auto"/>
              <w:ind w:firstLine="420" w:firstLineChars="200"/>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自体系建立以来，未受到上级主管部门有关质量问题的行政处罚。</w:t>
            </w:r>
          </w:p>
          <w:p>
            <w:pPr>
              <w:spacing w:line="360" w:lineRule="auto"/>
              <w:ind w:firstLine="420" w:firstLineChars="200"/>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未发生相关方的投诉。</w:t>
            </w:r>
          </w:p>
          <w:p>
            <w:pPr>
              <w:spacing w:line="360" w:lineRule="auto"/>
              <w:ind w:firstLine="420" w:firstLineChars="200"/>
              <w:rPr>
                <w:rFonts w:hint="eastAsia" w:asciiTheme="majorEastAsia" w:hAnsiTheme="majorEastAsia" w:eastAsiaTheme="majorEastAsia" w:cstheme="majorEastAsia"/>
                <w:kern w:val="2"/>
                <w:sz w:val="21"/>
                <w:szCs w:val="21"/>
                <w:lang w:val="en-US" w:eastAsia="zh-CN" w:bidi="ar-SA"/>
              </w:rPr>
            </w:pPr>
            <w:r>
              <w:rPr>
                <w:rFonts w:hint="eastAsia" w:ascii="Times New Roman" w:hAnsi="Times New Roman" w:eastAsia="宋体" w:cs="Times New Roman"/>
                <w:szCs w:val="22"/>
                <w:lang w:val="en-US" w:eastAsia="zh-CN"/>
              </w:rPr>
              <w:t>国家/地方抽查情况</w:t>
            </w:r>
            <w:r>
              <w:rPr>
                <w:rFonts w:hint="eastAsia" w:cs="Times New Roman"/>
                <w:szCs w:val="22"/>
                <w:lang w:val="en-US" w:eastAsia="zh-CN"/>
              </w:rPr>
              <w:t>，未发现本公司的质量问题，未进行过通报</w:t>
            </w:r>
            <w:r>
              <w:rPr>
                <w:rFonts w:hint="eastAsia" w:ascii="Times New Roman" w:hAnsi="Times New Roman" w:eastAsia="宋体" w:cs="Times New Roman"/>
                <w:szCs w:val="22"/>
                <w:lang w:val="en-US" w:eastAsia="zh-CN"/>
              </w:rPr>
              <w:t>。</w:t>
            </w:r>
          </w:p>
        </w:tc>
        <w:tc>
          <w:tcPr>
            <w:tcW w:w="999" w:type="dxa"/>
            <w:vAlign w:val="center"/>
          </w:tcPr>
          <w:p>
            <w:pPr>
              <w:jc w:val="center"/>
              <w:rPr>
                <w:rFonts w:hint="eastAsia" w:asciiTheme="majorEastAsia" w:hAnsiTheme="majorEastAsia" w:eastAsiaTheme="majorEastAsia" w:cstheme="majorEastAsia"/>
                <w:kern w:val="2"/>
                <w:sz w:val="21"/>
                <w:szCs w:val="21"/>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vAlign w:val="top"/>
          </w:tcPr>
          <w:p>
            <w:pPr>
              <w:rPr>
                <w:rFonts w:hint="eastAsia" w:asciiTheme="majorEastAsia" w:hAnsiTheme="majorEastAsia" w:eastAsiaTheme="majorEastAsia" w:cstheme="majorEastAsia"/>
                <w:kern w:val="2"/>
                <w:sz w:val="21"/>
                <w:szCs w:val="21"/>
                <w:lang w:val="en-US" w:eastAsia="zh-CN" w:bidi="ar-SA"/>
              </w:rPr>
            </w:pPr>
            <w:r>
              <w:rPr>
                <w:rFonts w:hint="eastAsia" w:asciiTheme="majorEastAsia" w:hAnsiTheme="majorEastAsia" w:eastAsiaTheme="majorEastAsia" w:cstheme="majorEastAsia"/>
                <w:sz w:val="21"/>
                <w:szCs w:val="21"/>
              </w:rPr>
              <w:t>证书、标志使用</w:t>
            </w:r>
          </w:p>
        </w:tc>
        <w:tc>
          <w:tcPr>
            <w:tcW w:w="0" w:type="auto"/>
            <w:vAlign w:val="top"/>
          </w:tcPr>
          <w:p>
            <w:pPr>
              <w:spacing w:line="360" w:lineRule="auto"/>
              <w:rPr>
                <w:rFonts w:hint="eastAsia" w:asciiTheme="majorEastAsia" w:hAnsiTheme="majorEastAsia" w:eastAsiaTheme="majorEastAsia" w:cstheme="majorEastAsia"/>
                <w:kern w:val="2"/>
                <w:sz w:val="21"/>
                <w:szCs w:val="21"/>
                <w:lang w:val="en-US" w:eastAsia="zh-CN" w:bidi="ar-SA"/>
              </w:rPr>
            </w:pPr>
          </w:p>
        </w:tc>
        <w:tc>
          <w:tcPr>
            <w:tcW w:w="10590" w:type="dxa"/>
            <w:vAlign w:val="top"/>
          </w:tcPr>
          <w:p>
            <w:pPr>
              <w:spacing w:line="360" w:lineRule="auto"/>
              <w:ind w:firstLine="420" w:firstLineChars="200"/>
              <w:rPr>
                <w:rFonts w:hint="eastAsia" w:asciiTheme="majorEastAsia" w:hAnsiTheme="majorEastAsia" w:eastAsiaTheme="majorEastAsia" w:cstheme="majorEastAsia"/>
                <w:kern w:val="2"/>
                <w:sz w:val="21"/>
                <w:szCs w:val="21"/>
                <w:lang w:val="en-US" w:eastAsia="zh-CN" w:bidi="ar-SA"/>
              </w:rPr>
            </w:pPr>
            <w:r>
              <w:rPr>
                <w:rFonts w:hint="eastAsia" w:asciiTheme="majorEastAsia" w:hAnsiTheme="majorEastAsia" w:eastAsiaTheme="majorEastAsia" w:cstheme="majorEastAsia"/>
                <w:sz w:val="21"/>
                <w:szCs w:val="21"/>
                <w:lang w:val="en-US" w:eastAsia="zh-CN"/>
              </w:rPr>
              <w:t>符合要求</w:t>
            </w:r>
          </w:p>
        </w:tc>
        <w:tc>
          <w:tcPr>
            <w:tcW w:w="999" w:type="dxa"/>
            <w:vAlign w:val="center"/>
          </w:tcPr>
          <w:p>
            <w:pPr>
              <w:jc w:val="center"/>
              <w:rPr>
                <w:rFonts w:hint="eastAsia" w:asciiTheme="majorEastAsia" w:hAnsiTheme="majorEastAsia" w:eastAsiaTheme="majorEastAsia" w:cstheme="majorEastAsia"/>
                <w:kern w:val="2"/>
                <w:sz w:val="21"/>
                <w:szCs w:val="21"/>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vAlign w:val="top"/>
          </w:tcPr>
          <w:p>
            <w:pPr>
              <w:rPr>
                <w:rFonts w:hint="eastAsia" w:ascii="宋体" w:hAnsi="宋体" w:eastAsia="宋体" w:cs="Arial"/>
                <w:spacing w:val="-6"/>
                <w:kern w:val="2"/>
                <w:sz w:val="21"/>
                <w:szCs w:val="21"/>
                <w:lang w:val="en-US" w:eastAsia="zh-CN" w:bidi="ar-SA"/>
              </w:rPr>
            </w:pPr>
            <w:r>
              <w:rPr>
                <w:rFonts w:hint="eastAsia" w:ascii="宋体" w:hAnsi="宋体"/>
                <w:sz w:val="21"/>
                <w:szCs w:val="21"/>
                <w:lang w:val="en-US" w:eastAsia="zh-CN"/>
              </w:rPr>
              <w:t>上次</w:t>
            </w:r>
            <w:r>
              <w:rPr>
                <w:rFonts w:hint="eastAsia" w:ascii="宋体" w:hAnsi="宋体"/>
                <w:sz w:val="21"/>
                <w:szCs w:val="21"/>
              </w:rPr>
              <w:t>审核不符合项的验证</w:t>
            </w:r>
          </w:p>
        </w:tc>
        <w:tc>
          <w:tcPr>
            <w:tcW w:w="0" w:type="auto"/>
            <w:vAlign w:val="top"/>
          </w:tcPr>
          <w:p>
            <w:pPr>
              <w:rPr>
                <w:rFonts w:hint="eastAsia" w:ascii="Times New Roman" w:hAnsi="Times New Roman" w:eastAsia="宋体" w:cs="Times New Roman"/>
                <w:kern w:val="2"/>
                <w:sz w:val="21"/>
                <w:lang w:val="en-US" w:eastAsia="zh-CN" w:bidi="ar-SA"/>
              </w:rPr>
            </w:pPr>
          </w:p>
        </w:tc>
        <w:tc>
          <w:tcPr>
            <w:tcW w:w="10590" w:type="dxa"/>
            <w:vAlign w:val="top"/>
          </w:tcPr>
          <w:p>
            <w:pPr>
              <w:spacing w:line="360" w:lineRule="auto"/>
              <w:ind w:firstLine="420" w:firstLineChars="200"/>
              <w:rPr>
                <w:rFonts w:hint="default" w:ascii="Times New Roman" w:hAnsi="Times New Roman" w:eastAsia="宋体" w:cs="Times New Roman"/>
                <w:kern w:val="2"/>
                <w:sz w:val="21"/>
                <w:szCs w:val="22"/>
                <w:lang w:val="en-US" w:eastAsia="zh-CN" w:bidi="ar-SA"/>
              </w:rPr>
            </w:pPr>
            <w:r>
              <w:rPr>
                <w:rFonts w:hint="eastAsia" w:cs="Times New Roman"/>
                <w:szCs w:val="22"/>
                <w:lang w:val="en-US" w:eastAsia="zh-CN"/>
              </w:rPr>
              <w:t>上次审核没有不符合。</w:t>
            </w:r>
            <w:bookmarkStart w:id="3" w:name="_GoBack"/>
            <w:bookmarkEnd w:id="3"/>
          </w:p>
        </w:tc>
        <w:tc>
          <w:tcPr>
            <w:tcW w:w="999" w:type="dxa"/>
            <w:vAlign w:val="center"/>
          </w:tcPr>
          <w:p>
            <w:pPr>
              <w:jc w:val="center"/>
              <w:rPr>
                <w:rFonts w:hint="eastAsia" w:asciiTheme="majorEastAsia" w:hAnsiTheme="majorEastAsia" w:eastAsiaTheme="majorEastAsia" w:cstheme="majorEastAsia"/>
                <w:kern w:val="2"/>
                <w:sz w:val="21"/>
                <w:szCs w:val="21"/>
                <w:lang w:val="en-US" w:eastAsia="zh-CN" w:bidi="ar-SA"/>
              </w:rPr>
            </w:pPr>
            <w:r>
              <w:rPr>
                <w:rFonts w:hint="eastAsia"/>
                <w:lang w:val="en-US" w:eastAsia="zh-CN"/>
              </w:rPr>
              <w:t>Y</w:t>
            </w:r>
          </w:p>
        </w:tc>
      </w:tr>
    </w:tbl>
    <w:p>
      <w:r>
        <w:ptab w:relativeTo="margin" w:alignment="center" w:leader="none"/>
      </w:r>
    </w:p>
    <w:p/>
    <w:p/>
    <w:p>
      <w:pPr>
        <w:pStyle w:val="6"/>
      </w:pPr>
      <w:r>
        <w:rPr>
          <w:rFonts w:hint="eastAsia"/>
        </w:rPr>
        <w:t>说明：不符合标注N</w:t>
      </w:r>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6"/>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mc:AlternateContent>
        <mc:Choice Requires="wps">
          <w:drawing>
            <wp:anchor distT="0" distB="0" distL="114300" distR="114300" simplePos="0" relativeHeight="251659264" behindDoc="0" locked="0" layoutInCell="1" allowOverlap="1">
              <wp:simplePos x="0" y="0"/>
              <wp:positionH relativeFrom="column">
                <wp:posOffset>7879080</wp:posOffset>
              </wp:positionH>
              <wp:positionV relativeFrom="paragraph">
                <wp:posOffset>159385</wp:posOffset>
              </wp:positionV>
              <wp:extent cx="1304290" cy="256540"/>
              <wp:effectExtent l="0" t="0" r="10160" b="10160"/>
              <wp:wrapNone/>
              <wp:docPr id="1" name="文本框 1"/>
              <wp:cNvGraphicFramePr/>
              <a:graphic xmlns:a="http://schemas.openxmlformats.org/drawingml/2006/main">
                <a:graphicData uri="http://schemas.microsoft.com/office/word/2010/wordprocessingShape">
                  <wps:wsp>
                    <wps:cNvSpPr txBox="1"/>
                    <wps:spPr>
                      <a:xfrm>
                        <a:off x="0" y="0"/>
                        <a:ext cx="1304290" cy="256540"/>
                      </a:xfrm>
                      <a:prstGeom prst="rect">
                        <a:avLst/>
                      </a:prstGeom>
                      <a:solidFill>
                        <a:srgbClr val="FFFFFF"/>
                      </a:solidFill>
                      <a:ln>
                        <a:noFill/>
                      </a:ln>
                    </wps:spPr>
                    <wps:txbx>
                      <w:txbxContent>
                        <w:p>
                          <w:pPr>
                            <w:rPr>
                              <w:sz w:val="18"/>
                              <w:szCs w:val="18"/>
                            </w:rPr>
                          </w:pPr>
                          <w:r>
                            <w:rPr>
                              <w:rFonts w:hint="eastAsia"/>
                              <w:sz w:val="18"/>
                              <w:szCs w:val="18"/>
                            </w:rPr>
                            <w:t>ISC-B-II-12(05版）</w:t>
                          </w:r>
                        </w:p>
                      </w:txbxContent>
                    </wps:txbx>
                    <wps:bodyPr upright="1"/>
                  </wps:wsp>
                </a:graphicData>
              </a:graphic>
            </wp:anchor>
          </w:drawing>
        </mc:Choice>
        <mc:Fallback>
          <w:pict>
            <v:shape id="_x0000_s1026" o:spid="_x0000_s1026" o:spt="202" type="#_x0000_t202" style="position:absolute;left:0pt;margin-left:620.4pt;margin-top:12.55pt;height:20.2pt;width:102.7pt;z-index:251659264;mso-width-relative:page;mso-height-relative:page;" fillcolor="#FFFFFF" filled="t" stroked="f" coordsize="21600,21600" o:gfxdata="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CQfhE2AAAAAsBAAAPAAAAAAAAAAEAIAAAACIAAABkcnMvZG93bnJldi54&#10;bWxQSwECFAAUAAAACACHTuJAZsEoGMEBAAB3AwAADgAAAAAAAAABACAAAAAnAQAAZHJzL2Uyb0Rv&#10;Yy54bWxQSwUGAAAAAAYABgBZAQAAWgUAAAAA&#10;">
              <v:fill on="t" focussize="0,0"/>
              <v:stroke on="f"/>
              <v:imagedata o:title=""/>
              <o:lock v:ext="edit" aspectratio="f"/>
              <v:textbox>
                <w:txbxContent>
                  <w:p>
                    <w:pPr>
                      <w:rPr>
                        <w:sz w:val="18"/>
                        <w:szCs w:val="18"/>
                      </w:rPr>
                    </w:pPr>
                    <w:r>
                      <w:rPr>
                        <w:rFonts w:hint="eastAsia"/>
                        <w:sz w:val="18"/>
                        <w:szCs w:val="18"/>
                      </w:rPr>
                      <w:t>ISC-B-II-12(05版）</w:t>
                    </w:r>
                  </w:p>
                </w:txbxContent>
              </v:textbox>
            </v:shape>
          </w:pict>
        </mc:Fallback>
      </mc:AlternateContent>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7"/>
      <w:pBdr>
        <w:bottom w:val="none" w:color="auto" w:sz="0" w:space="0"/>
      </w:pBdr>
      <w:spacing w:line="320" w:lineRule="exact"/>
      <w:ind w:firstLine="756" w:firstLineChars="400"/>
      <w:jc w:val="left"/>
    </w:pPr>
    <w:r>
      <w:rPr>
        <w:rStyle w:val="13"/>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5NTRmZWE1ODkyMzI3NzUzMjUzZWZjMTFlMDk4OTYifQ=="/>
  </w:docVars>
  <w:rsids>
    <w:rsidRoot w:val="00000000"/>
    <w:rsid w:val="49EB4DF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qFormat/>
    <w:uiPriority w:val="99"/>
    <w:pPr>
      <w:keepNext/>
      <w:jc w:val="center"/>
      <w:outlineLvl w:val="1"/>
    </w:pPr>
    <w:rPr>
      <w:rFonts w:ascii="宋体" w:hAnsi="宋体"/>
      <w:b/>
      <w:sz w:val="5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Body Text"/>
    <w:basedOn w:val="1"/>
    <w:qFormat/>
    <w:uiPriority w:val="0"/>
    <w:pPr>
      <w:jc w:val="center"/>
    </w:pPr>
    <w:rPr>
      <w:rFonts w:ascii="黑体" w:eastAsia="黑体"/>
      <w:b/>
      <w:sz w:val="84"/>
    </w:rPr>
  </w:style>
  <w:style w:type="paragraph" w:styleId="5">
    <w:name w:val="Balloon Text"/>
    <w:basedOn w:val="1"/>
    <w:link w:val="12"/>
    <w:semiHidden/>
    <w:unhideWhenUsed/>
    <w:qFormat/>
    <w:uiPriority w:val="99"/>
    <w:rPr>
      <w:sz w:val="18"/>
      <w:szCs w:val="18"/>
    </w:rPr>
  </w:style>
  <w:style w:type="paragraph" w:styleId="6">
    <w:name w:val="footer"/>
    <w:basedOn w:val="1"/>
    <w:link w:val="11"/>
    <w:unhideWhenUsed/>
    <w:qFormat/>
    <w:uiPriority w:val="99"/>
    <w:pPr>
      <w:tabs>
        <w:tab w:val="center" w:pos="4153"/>
        <w:tab w:val="right" w:pos="8306"/>
      </w:tabs>
      <w:snapToGrid w:val="0"/>
      <w:jc w:val="left"/>
    </w:pPr>
    <w:rPr>
      <w:sz w:val="18"/>
      <w:szCs w:val="18"/>
    </w:rPr>
  </w:style>
  <w:style w:type="paragraph" w:styleId="7">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10">
    <w:name w:val="页眉 Char"/>
    <w:basedOn w:val="9"/>
    <w:link w:val="7"/>
    <w:qFormat/>
    <w:uiPriority w:val="99"/>
    <w:rPr>
      <w:rFonts w:ascii="Times New Roman" w:hAnsi="Times New Roman" w:eastAsia="宋体" w:cs="Times New Roman"/>
      <w:sz w:val="18"/>
      <w:szCs w:val="18"/>
    </w:rPr>
  </w:style>
  <w:style w:type="character" w:customStyle="1" w:styleId="11">
    <w:name w:val="页脚 Char"/>
    <w:basedOn w:val="9"/>
    <w:link w:val="6"/>
    <w:qFormat/>
    <w:uiPriority w:val="99"/>
    <w:rPr>
      <w:rFonts w:ascii="Times New Roman" w:hAnsi="Times New Roman" w:eastAsia="宋体" w:cs="Times New Roman"/>
      <w:sz w:val="18"/>
      <w:szCs w:val="18"/>
    </w:rPr>
  </w:style>
  <w:style w:type="character" w:customStyle="1" w:styleId="12">
    <w:name w:val="批注框文本 Char"/>
    <w:basedOn w:val="9"/>
    <w:link w:val="5"/>
    <w:semiHidden/>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97</Words>
  <Characters>107</Characters>
  <Lines>1</Lines>
  <Paragraphs>1</Paragraphs>
  <TotalTime>22</TotalTime>
  <ScaleCrop>false</ScaleCrop>
  <LinksUpToDate>false</LinksUpToDate>
  <CharactersWithSpaces>110</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lenovo1018</cp:lastModifiedBy>
  <dcterms:modified xsi:type="dcterms:W3CDTF">2022-07-21T01:52:48Z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F9AA5D3CFF0243F68CB7445688365494</vt:lpwstr>
  </property>
  <property fmtid="{D5CDD505-2E9C-101B-9397-08002B2CF9AE}" pid="3" name="KSOProductBuildVer">
    <vt:lpwstr>2052-11.1.0.11875</vt:lpwstr>
  </property>
</Properties>
</file>