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3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ind w:left="0" w:leftChars="0"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过程与活动、</w:t>
            </w:r>
          </w:p>
          <w:p>
            <w:pPr>
              <w:ind w:left="0" w:leftChars="0"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抽样计划</w:t>
            </w:r>
          </w:p>
        </w:tc>
        <w:tc>
          <w:tcPr>
            <w:tcW w:w="960" w:type="dxa"/>
            <w:vMerge w:val="restart"/>
            <w:vAlign w:val="center"/>
          </w:tcPr>
          <w:p>
            <w:pPr>
              <w:ind w:left="0" w:leftChars="0"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涉及</w:t>
            </w:r>
          </w:p>
          <w:p>
            <w:pPr>
              <w:ind w:left="0" w:leftChars="0"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条款</w:t>
            </w:r>
          </w:p>
        </w:tc>
        <w:tc>
          <w:tcPr>
            <w:tcW w:w="10635" w:type="dxa"/>
            <w:vAlign w:val="center"/>
          </w:tcPr>
          <w:p>
            <w:pPr>
              <w:ind w:left="0" w:leftChars="0" w:firstLine="0" w:firstLineChars="0"/>
              <w:rPr>
                <w:rFonts w:hint="eastAsia" w:eastAsia="宋体"/>
                <w:sz w:val="24"/>
                <w:szCs w:val="24"/>
                <w:lang w:eastAsia="zh-CN"/>
              </w:rPr>
            </w:pPr>
            <w:r>
              <w:rPr>
                <w:rFonts w:hint="eastAsia"/>
                <w:sz w:val="24"/>
                <w:szCs w:val="24"/>
              </w:rPr>
              <w:t>受审核部门：</w:t>
            </w:r>
            <w:r>
              <w:rPr>
                <w:rFonts w:hint="eastAsia" w:ascii="Times New Roman" w:hAnsi="Times New Roman" w:eastAsia="宋体" w:cs="Times New Roman"/>
                <w:sz w:val="24"/>
                <w:szCs w:val="24"/>
              </w:rPr>
              <w:t>招标部</w:t>
            </w:r>
            <w:r>
              <w:rPr>
                <w:rFonts w:hint="eastAsia" w:ascii="Times New Roman" w:hAnsi="Times New Roman" w:eastAsia="宋体" w:cs="Times New Roman"/>
                <w:sz w:val="24"/>
                <w:szCs w:val="24"/>
                <w:lang w:val="en-US" w:eastAsia="zh-CN"/>
              </w:rPr>
              <w:t xml:space="preserve">         </w:t>
            </w:r>
            <w:r>
              <w:rPr>
                <w:rFonts w:hint="eastAsia"/>
                <w:sz w:val="24"/>
                <w:szCs w:val="24"/>
                <w:lang w:val="en-US" w:eastAsia="zh-CN"/>
              </w:rPr>
              <w:t xml:space="preserve">     </w:t>
            </w:r>
            <w:r>
              <w:rPr>
                <w:rFonts w:hint="eastAsia"/>
                <w:sz w:val="24"/>
                <w:szCs w:val="24"/>
              </w:rPr>
              <w:t>主管领导：宁秋珺</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韩林</w:t>
            </w:r>
          </w:p>
        </w:tc>
        <w:tc>
          <w:tcPr>
            <w:tcW w:w="954" w:type="dxa"/>
            <w:vMerge w:val="restart"/>
            <w:vAlign w:val="center"/>
          </w:tcPr>
          <w:p>
            <w:pPr>
              <w:ind w:left="0" w:leftChars="0" w:firstLine="0" w:firstLineChars="0"/>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635" w:type="dxa"/>
            <w:vAlign w:val="center"/>
          </w:tcPr>
          <w:p>
            <w:pPr>
              <w:spacing w:before="120"/>
              <w:ind w:left="0" w:leftChars="0" w:firstLine="0" w:firstLineChars="0"/>
            </w:pPr>
            <w:r>
              <w:rPr>
                <w:rFonts w:hint="eastAsia" w:ascii="Times New Roman" w:hAnsi="Times New Roman" w:eastAsia="宋体" w:cs="Times New Roman"/>
                <w:sz w:val="24"/>
                <w:szCs w:val="24"/>
              </w:rPr>
              <w:t>审核员：</w:t>
            </w:r>
            <w:bookmarkStart w:id="0" w:name="审核组成员不含组长"/>
            <w:r>
              <w:rPr>
                <w:rFonts w:hint="eastAsia" w:ascii="Times New Roman" w:hAnsi="Times New Roman" w:eastAsia="宋体" w:cs="Times New Roman"/>
                <w:sz w:val="24"/>
                <w:szCs w:val="24"/>
                <w:lang w:eastAsia="zh-CN"/>
              </w:rPr>
              <w:t>褚敏杰</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王悦</w:t>
            </w:r>
            <w:bookmarkEnd w:id="0"/>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审核时间：</w:t>
            </w:r>
            <w:bookmarkStart w:id="1" w:name="审核日期"/>
            <w:r>
              <w:rPr>
                <w:rFonts w:hint="eastAsia" w:ascii="Times New Roman" w:hAnsi="Times New Roman" w:eastAsia="宋体" w:cs="Times New Roman"/>
                <w:sz w:val="24"/>
                <w:szCs w:val="24"/>
              </w:rPr>
              <w:t>2022年07月21日</w:t>
            </w:r>
            <w:bookmarkEnd w:id="1"/>
          </w:p>
        </w:tc>
        <w:tc>
          <w:tcPr>
            <w:tcW w:w="9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635" w:type="dxa"/>
            <w:vAlign w:val="center"/>
          </w:tcPr>
          <w:p>
            <w:pPr>
              <w:ind w:left="0" w:leftChars="0"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审核条款：</w:t>
            </w:r>
          </w:p>
          <w:p>
            <w:pPr>
              <w:rPr>
                <w:rFonts w:hint="eastAsia"/>
                <w:sz w:val="24"/>
                <w:szCs w:val="24"/>
              </w:rPr>
            </w:pPr>
            <w:r>
              <w:rPr>
                <w:rFonts w:hint="eastAsia" w:ascii="宋体" w:hAnsi="宋体" w:cs="Arial"/>
                <w:sz w:val="21"/>
                <w:szCs w:val="21"/>
              </w:rPr>
              <w:t>QMS:5.3组织的岗位、职责和权限、6.2质量目标、7.1.3基础设施、7.1.4过程运行环境、8.1运行策划和控制、8.5.1招标服务提供的控制、8.6产品和服务的放行、8.7不合格输出的控制</w:t>
            </w:r>
          </w:p>
        </w:tc>
        <w:tc>
          <w:tcPr>
            <w:tcW w:w="9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spacing w:line="360" w:lineRule="auto"/>
              <w:ind w:left="0" w:leftChars="0" w:firstLine="0" w:firstLineChars="0"/>
              <w:rPr>
                <w:rFonts w:hint="eastAsia" w:ascii="宋体" w:hAnsi="宋体" w:eastAsia="宋体" w:cs="宋体"/>
                <w:b/>
                <w:kern w:val="2"/>
                <w:sz w:val="24"/>
                <w:szCs w:val="24"/>
                <w:lang w:val="en-US" w:eastAsia="zh-CN" w:bidi="ar-SA"/>
              </w:rPr>
            </w:pPr>
            <w:r>
              <w:rPr>
                <w:rFonts w:hint="eastAsia" w:ascii="宋体" w:hAnsi="宋体" w:eastAsia="宋体" w:cs="Arial"/>
                <w:spacing w:val="-6"/>
                <w:sz w:val="21"/>
                <w:szCs w:val="21"/>
                <w:lang w:val="en-US" w:eastAsia="zh-CN"/>
              </w:rPr>
              <w:t>组织的岗位、职责和权限</w:t>
            </w:r>
          </w:p>
        </w:tc>
        <w:tc>
          <w:tcPr>
            <w:tcW w:w="960" w:type="dxa"/>
            <w:vAlign w:val="top"/>
          </w:tcPr>
          <w:p>
            <w:pPr>
              <w:spacing w:line="360" w:lineRule="auto"/>
              <w:ind w:left="0" w:leftChars="0" w:firstLine="0" w:firstLineChars="0"/>
              <w:jc w:val="both"/>
              <w:rPr>
                <w:rFonts w:hint="eastAsia" w:ascii="宋体" w:hAnsi="宋体" w:eastAsia="宋体" w:cs="Arial"/>
                <w:kern w:val="2"/>
                <w:sz w:val="21"/>
                <w:szCs w:val="21"/>
                <w:lang w:val="en-US" w:eastAsia="zh-CN" w:bidi="ar-SA"/>
              </w:rPr>
            </w:pPr>
            <w:r>
              <w:rPr>
                <w:rFonts w:hint="eastAsia" w:ascii="宋体" w:hAnsi="宋体" w:eastAsia="宋体" w:cs="Arial"/>
                <w:sz w:val="21"/>
                <w:szCs w:val="21"/>
              </w:rPr>
              <w:t>Q:5.3</w:t>
            </w:r>
          </w:p>
        </w:tc>
        <w:tc>
          <w:tcPr>
            <w:tcW w:w="1063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eastAsiaTheme="minorEastAsia"/>
                <w:sz w:val="21"/>
                <w:szCs w:val="21"/>
                <w:lang w:val="en-US" w:eastAsia="zh-CN"/>
              </w:rPr>
            </w:pPr>
            <w:r>
              <w:rPr>
                <w:rFonts w:hint="eastAsia" w:hAnsiTheme="minorEastAsia" w:eastAsiaTheme="minorEastAsia"/>
                <w:sz w:val="21"/>
                <w:szCs w:val="21"/>
                <w:lang w:val="en-US" w:eastAsia="zh-CN"/>
              </w:rPr>
              <w:t>招标部现有3人，其中部长1人，管理人员2人；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kern w:val="2"/>
                <w:sz w:val="21"/>
                <w:lang w:val="en-US" w:eastAsia="zh-CN" w:bidi="ar-SA"/>
              </w:rPr>
            </w:pPr>
            <w:r>
              <w:rPr>
                <w:rFonts w:hAnsiTheme="minorEastAsia" w:eastAsiaTheme="minorEastAsia"/>
                <w:sz w:val="21"/>
                <w:szCs w:val="21"/>
              </w:rPr>
              <w:t>主要负责：市场调研与开发，商务谈判及合同</w:t>
            </w:r>
            <w:r>
              <w:rPr>
                <w:rFonts w:hint="eastAsia" w:hAnsiTheme="minorEastAsia" w:eastAsiaTheme="minorEastAsia"/>
                <w:sz w:val="21"/>
                <w:szCs w:val="21"/>
              </w:rPr>
              <w:t>/订单</w:t>
            </w:r>
            <w:r>
              <w:rPr>
                <w:rFonts w:hAnsiTheme="minorEastAsia" w:eastAsiaTheme="minorEastAsia"/>
                <w:sz w:val="21"/>
                <w:szCs w:val="21"/>
              </w:rPr>
              <w:t>评审，顾客档案建立，售后</w:t>
            </w:r>
            <w:r>
              <w:rPr>
                <w:rFonts w:hint="eastAsia" w:hAnsiTheme="minorEastAsia" w:eastAsiaTheme="minorEastAsia"/>
                <w:sz w:val="21"/>
                <w:szCs w:val="21"/>
                <w:lang w:val="en-US" w:eastAsia="zh-CN"/>
              </w:rPr>
              <w:t>管理</w:t>
            </w:r>
          </w:p>
        </w:tc>
        <w:tc>
          <w:tcPr>
            <w:tcW w:w="954" w:type="dxa"/>
            <w:vAlign w:val="top"/>
          </w:tcPr>
          <w:p>
            <w:pPr>
              <w:ind w:left="0" w:leftChars="0" w:firstLine="0" w:firstLineChars="0"/>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spacing w:line="360" w:lineRule="auto"/>
              <w:ind w:left="0" w:leftChars="0" w:firstLine="0" w:firstLineChars="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质量目标</w:t>
            </w:r>
          </w:p>
        </w:tc>
        <w:tc>
          <w:tcPr>
            <w:tcW w:w="960" w:type="dxa"/>
            <w:vAlign w:val="center"/>
          </w:tcPr>
          <w:p>
            <w:pPr>
              <w:spacing w:line="360" w:lineRule="auto"/>
              <w:ind w:left="0" w:leftChars="0" w:firstLine="0" w:firstLineChars="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Q:6.2</w:t>
            </w:r>
          </w:p>
        </w:tc>
        <w:tc>
          <w:tcPr>
            <w:tcW w:w="1063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Arial"/>
                <w:color w:val="auto"/>
                <w:spacing w:val="-6"/>
                <w:sz w:val="21"/>
                <w:szCs w:val="21"/>
                <w:lang w:val="en-US" w:eastAsia="zh-CN"/>
              </w:rPr>
            </w:pPr>
            <w:r>
              <w:rPr>
                <w:rFonts w:hint="eastAsia"/>
                <w:color w:val="auto"/>
                <w:lang w:val="en-US" w:eastAsia="zh-CN"/>
              </w:rPr>
              <w:t>保留“公司目标实施措施表”，</w:t>
            </w:r>
            <w:r>
              <w:rPr>
                <w:rFonts w:hint="eastAsia" w:ascii="宋体" w:hAnsi="宋体" w:cs="Arial"/>
                <w:color w:val="auto"/>
                <w:spacing w:val="-6"/>
                <w:sz w:val="21"/>
                <w:szCs w:val="21"/>
                <w:lang w:val="en-US" w:eastAsia="zh-CN"/>
              </w:rPr>
              <w:t>对目标按照部门进行了分解；查见业务部目标：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1、办公设备完好率≥95%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2、招标代理完成及时率100%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kern w:val="2"/>
                <w:sz w:val="21"/>
                <w:lang w:val="en-US" w:eastAsia="zh-CN" w:bidi="ar-SA"/>
              </w:rPr>
            </w:pPr>
            <w:r>
              <w:rPr>
                <w:rFonts w:hint="eastAsia" w:cs="Times New Roman"/>
                <w:color w:val="auto"/>
                <w:szCs w:val="22"/>
                <w:lang w:val="en-US" w:eastAsia="zh-CN"/>
              </w:rPr>
              <w:t>保留“质量目标考核表”，2022年6月30日，</w:t>
            </w:r>
            <w:r>
              <w:rPr>
                <w:rFonts w:hint="eastAsia" w:ascii="Times New Roman" w:hAnsi="Times New Roman" w:eastAsia="宋体" w:cs="Times New Roman"/>
                <w:color w:val="auto"/>
                <w:szCs w:val="22"/>
                <w:lang w:val="en-US" w:eastAsia="zh-CN"/>
              </w:rPr>
              <w:t>考核结果显示</w:t>
            </w:r>
            <w:r>
              <w:rPr>
                <w:rFonts w:hint="default" w:ascii="Times New Roman" w:hAnsi="Times New Roman" w:eastAsia="宋体" w:cs="Times New Roman"/>
                <w:color w:val="auto"/>
                <w:szCs w:val="22"/>
                <w:lang w:val="en-US" w:eastAsia="zh-CN"/>
              </w:rPr>
              <w:t>所有目标均已完成。</w:t>
            </w:r>
          </w:p>
        </w:tc>
        <w:tc>
          <w:tcPr>
            <w:tcW w:w="954" w:type="dxa"/>
            <w:vAlign w:val="top"/>
          </w:tcPr>
          <w:p>
            <w:pPr>
              <w:ind w:left="0" w:leftChars="0"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spacing w:line="360" w:lineRule="auto"/>
              <w:ind w:left="0" w:leftChars="0" w:firstLine="0" w:firstLineChars="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基础设施</w:t>
            </w:r>
          </w:p>
          <w:p>
            <w:pPr>
              <w:spacing w:line="360" w:lineRule="auto"/>
              <w:ind w:left="0" w:leftChars="0" w:firstLine="0" w:firstLineChars="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过程运行环境</w:t>
            </w:r>
          </w:p>
        </w:tc>
        <w:tc>
          <w:tcPr>
            <w:tcW w:w="960" w:type="dxa"/>
            <w:vAlign w:val="top"/>
          </w:tcPr>
          <w:p>
            <w:pPr>
              <w:spacing w:line="360" w:lineRule="auto"/>
              <w:ind w:left="0" w:leftChars="0" w:firstLine="0" w:firstLineChars="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Q:7.1.3</w:t>
            </w:r>
          </w:p>
          <w:p>
            <w:pPr>
              <w:spacing w:line="360" w:lineRule="auto"/>
              <w:ind w:left="0" w:leftChars="0" w:firstLine="0" w:firstLineChars="0"/>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7.1.4</w:t>
            </w:r>
          </w:p>
        </w:tc>
        <w:tc>
          <w:tcPr>
            <w:tcW w:w="1063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查见“基础设施和工作环境控制程序”，有效文件；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查见“设备台帐”，登记有办公设备有复印机、打印机、电脑、U盘、打印机、投影仪等；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介绍说，办公电器正常使用，出现故障时，一般报修通过电话进行，故障排除后通过试运行进行验收。未保留报修和验收记录，交流；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现场观察：办公环境良好，配置有办公设备。自然通风，温度、湿度、采光等满足要求；配置有空调；开标室3间，均设有视频监控。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员工关系和谐。</w:t>
            </w:r>
          </w:p>
        </w:tc>
        <w:tc>
          <w:tcPr>
            <w:tcW w:w="954" w:type="dxa"/>
            <w:vAlign w:val="top"/>
          </w:tcPr>
          <w:p>
            <w:pPr>
              <w:ind w:left="0" w:leftChars="0"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pacing w:line="360" w:lineRule="auto"/>
              <w:ind w:left="0" w:leftChars="0" w:firstLine="0" w:firstLineChars="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运行策划和控制</w:t>
            </w:r>
          </w:p>
        </w:tc>
        <w:tc>
          <w:tcPr>
            <w:tcW w:w="0" w:type="auto"/>
            <w:vAlign w:val="top"/>
          </w:tcPr>
          <w:p>
            <w:pPr>
              <w:spacing w:line="360" w:lineRule="auto"/>
              <w:ind w:left="0" w:leftChars="0" w:firstLine="0" w:firstLineChars="0"/>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Q:8.1</w:t>
            </w:r>
          </w:p>
        </w:tc>
        <w:tc>
          <w:tcPr>
            <w:tcW w:w="1063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公司策划了招标代理的过程：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接受采购人的委托→编制招标文件→评审招标文件→发布招标公告→接受投标人报名→开标前抽取评标专家→接收投标文件→现场开标→评标定标→发布中标结果通知书；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关键过程有：制定招标文件、开标过程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编制有政府采购文件编制质量控制制度、政府采购活动操作规程进行控制。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1、明确了实现产品所需达到的质量目标和要求是客户的要求；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明确了验收准则、执行标准和规范：招标文件以及政府采购法实施条例、政府采购货物和服务招标投标管理办法、政府采购非招标采购方式管理办法、政府采购竞争性磋商采购方式管理暂行办法、中华人民共和国招投标法等法律法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对</w:t>
            </w:r>
            <w:r>
              <w:rPr>
                <w:rFonts w:hint="eastAsia" w:ascii="Times New Roman" w:hAnsi="Times New Roman" w:eastAsia="宋体" w:cs="Times New Roman"/>
                <w:color w:val="auto"/>
                <w:lang w:val="en-US" w:eastAsia="zh-CN"/>
              </w:rPr>
              <w:t>招标代理</w:t>
            </w:r>
            <w:r>
              <w:rPr>
                <w:rFonts w:hint="default" w:ascii="Times New Roman" w:hAnsi="Times New Roman" w:eastAsia="宋体" w:cs="Times New Roman"/>
                <w:color w:val="auto"/>
                <w:lang w:val="en-US" w:eastAsia="zh-CN"/>
              </w:rPr>
              <w:t>过程</w:t>
            </w:r>
            <w:r>
              <w:rPr>
                <w:rFonts w:hint="eastAsia" w:ascii="Times New Roman" w:hAnsi="Times New Roman" w:eastAsia="宋体" w:cs="Times New Roman"/>
                <w:color w:val="auto"/>
                <w:lang w:val="en-US" w:eastAsia="zh-CN"/>
              </w:rPr>
              <w:t>策划了</w:t>
            </w:r>
            <w:r>
              <w:rPr>
                <w:rFonts w:hint="default" w:ascii="Times New Roman" w:hAnsi="Times New Roman" w:eastAsia="宋体" w:cs="Times New Roman"/>
                <w:color w:val="auto"/>
                <w:lang w:val="en-US" w:eastAsia="zh-CN"/>
              </w:rPr>
              <w:t>委托协议书</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采购公告</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磋商文件</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购买磋商文件登记表</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暂停公告</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重新启动公告</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接收应答文件登记表</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采购人签到表</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磋商仪式程序</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密封符合性检查表</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推荐函</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专家签到表</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评委守则承诺书</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评委通讯工具保管表</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首次报价一览表</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资格性和符合性检查汇总表</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最终报价</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价格评分表</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技术评分表</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商务评分表</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评细评分汇总表</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评审报告</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成交结果确认函</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成交公告</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成交通知书等记录；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4、确定了所需的资源为：人员、资金、办公设备设施、通讯工具等；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策划的输出适合于组织的运行。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对于非预期变更，及时进行潜在后果评审，并告知相关人员，目前未发生。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经识别企业无外包过程，今后如有发生按照标准Q8.4条款的要求进行管理控制。</w:t>
            </w:r>
          </w:p>
        </w:tc>
        <w:tc>
          <w:tcPr>
            <w:tcW w:w="954" w:type="dxa"/>
            <w:vAlign w:val="top"/>
          </w:tcPr>
          <w:p>
            <w:pPr>
              <w:ind w:left="0" w:leftChars="0"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pacing w:line="360" w:lineRule="auto"/>
              <w:ind w:left="0" w:leftChars="0" w:firstLine="0" w:firstLineChars="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招标服务提供的控制</w:t>
            </w:r>
          </w:p>
        </w:tc>
        <w:tc>
          <w:tcPr>
            <w:tcW w:w="0" w:type="auto"/>
            <w:vAlign w:val="top"/>
          </w:tcPr>
          <w:p>
            <w:pPr>
              <w:spacing w:line="360" w:lineRule="auto"/>
              <w:ind w:left="0" w:leftChars="0" w:firstLine="0" w:firstLineChars="0"/>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Q:8.5.1</w:t>
            </w:r>
          </w:p>
        </w:tc>
        <w:tc>
          <w:tcPr>
            <w:tcW w:w="1063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查见系统截图，每月在系统中对本月招标项目进行安排，抽见2022.7，本月共安排11场次开标活动。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根据策划的安排，保留了每次招标代理过程记录，包括纸质文件和视频录像。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介绍说，所有文件根据法规要求保留15年。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招标文件编制：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介绍说招标文件的编制过程是关键过程，主要是根据与顾客签订的委托协议，以及顾客提供的项目需求和技术要求，按照国家法律法规的要求进行编制；编制完成后，通过网络发送给项目经理进行审核，审核通过后交付给顾客审核，并根据顾客的审核意见对文件进行修改，直到满足顾客要求和法规要求后，定稿，并交顾客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顾客确认后进行挂网发布公告。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开标过程：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现场观察：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审核当日正在进行江西财大的HWZC2254 江西财经大学图书馆用品采购及搬运项目</w:t>
            </w:r>
            <w:r>
              <w:rPr>
                <w:rFonts w:hint="eastAsia" w:cs="Times New Roman"/>
                <w:color w:val="auto"/>
                <w:lang w:val="en-US" w:eastAsia="zh-CN"/>
              </w:rPr>
              <w:t>、HWZC2265江西财经大学虚拟现实（VR）现代产业学院8间普通实验室改造项目、HWZC2266江西财经大学图书馆用品及教学用品采购项目、HWZC2269 江西财经大学2间物理实验室、3间VR实验室搬迁及改造建设项目</w:t>
            </w:r>
            <w:r>
              <w:rPr>
                <w:rFonts w:hint="eastAsia" w:ascii="Times New Roman" w:hAnsi="Times New Roman" w:eastAsia="宋体"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公开招标09：30；采购人和供应商在09：30前达到现场，签到，保留采购人签到表；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09：30，准时停止签到和收取文件，公司主持人宣告竞争性谈判应答仪式程序；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供应商和监督人员进行密封性检查，检查分为自查和交叉检查；确认密封完好性后，供应商和采购人、监督人签字，保留应答文件密封符合性检查表；并将已收取到的文件送达评标室；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保留项目详细信息表，抽取时间2022.7.21，记录从专家库中抽取的专家信息；当天抽取，代理公司、业主、监督代表签字；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专家到达现场后进行签到，保留谈判小组成员签到及通讯工具保管表；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专家签到后，先查看招标文件；待投标文件送达后，现场拆封，进行评标，每位专家进行打分，并在评分表上进行记录，签字；各位专家评分完成、签字后，开标活动结束。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保留评委守则及承诺书、资格性和符合性检查汇总表、竞谈价格情况表，专家及采购、监督方签字；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评标结束后公司出具评标报告，并将副本交给供应商。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抽见招标过程控制记录：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江西省高级人民法院融媒体中心基础平台建设项目-HW21126（电子化公开招标）；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公告——江西省公共资源交易网截图：江西法院融媒体中心基础平台建设项目-HW21126电子化公开招标公告，列明项目概况、预算金额、采购要求、申请人资格、获取招标文件的方式方法和时间、地点、联系人员信息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电子化公开招标文件：投标邀请、项目需求、投标人须知、招标文件、投标文件编制、投标文件递交、开标与评标、询问和质疑、授予合同、信息查询等；以及评审办法（无效条款、评标方法、评分细则、合同格式等）和投标文件的具体要求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开标资料：接收应答文件登记表、投标人签到表、采购人签到表、公开招标仪式程序文件、密封性检查情况记录表、开标记录表、资格审查汇总表、评标专家签到表、评委守则及承诺书、专家技术标评审评分表、专家商务标评审评分表等；所有文件相关人员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介绍说，专家的抽取是由交易中心随机在专家库中抽取，以密封文件的形式下发给公司；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4、评标报告书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5、中标确认书——拟推荐供应商江西洲XXX公司；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6、电子化公开招标结果公告——中标信息江西洲XXX公司</w:t>
            </w:r>
            <w:r>
              <w:rPr>
                <w:rFonts w:hint="eastAsia"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7、质疑函——质疑人中广XXXX公司、江西凌XXX公司，对上述中标结果进行质疑</w:t>
            </w:r>
            <w:r>
              <w:rPr>
                <w:rFonts w:hint="eastAsia" w:cs="Times New Roman"/>
                <w:color w:val="auto"/>
                <w:lang w:val="en-US" w:eastAsia="zh-CN"/>
              </w:rPr>
              <w:t>；</w:t>
            </w:r>
            <w:bookmarkStart w:id="2" w:name="_GoBack"/>
            <w:bookmarkEnd w:id="2"/>
            <w:r>
              <w:rPr>
                <w:rFonts w:hint="eastAsia" w:ascii="Times New Roman" w:hAnsi="Times New Roman" w:eastAsia="宋体" w:cs="Times New Roman"/>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8、质疑回复函——预中标单位出具，2022.1.12；无效投标；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9、改变中标结果的报告——2022.1.13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10、结果公示——江西省公共资源交易网截图：江西法院融媒体中心基础平台建设项目-HW22012电子化公开招标结果变更公告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11、成交通知书——中广XXXX公司，2022.1.18；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12、质疑函——质疑人江西洲XXX公司，对预中标结果进行质疑；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13、质疑答复函——预中标单位出具，2022.1.24；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14、专家协助回复质疑签到表、协助回复质疑会记录；2022.1.29；质疑成立，投标无效。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同时，应实质性响应人不足三家，废标。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15、流标结果公告——2022.2.07，江西省公共资源交易网截图：江西法院融媒体中心基础平台建设项目-HW22012电子化公开招标终止公告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第二次招标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查见江西省高级人民法院融媒体中心基础平台建设项目-HW22012（电子化公开招标）；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公告——江西省公共资源交易网截图：江西法院融媒体中心基础平台建设项目-HW22012电子化公开招标公告，列明项目概况、预算金额、采购要求、申请人资格、获取招标文件的方式方法和时间、地点、联系人员信息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电子化公开招标文件：投标邀请、项目需求、投标人须知、招标文件、投标文件编制、投标文件递交、开标与评标、询问和质疑、授予合同、信息查询等；以及评审办法（无效条款、评标方法、评分细则、合同格式等）和投标文件的具体要求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开标资料：投标人签到表、采购人签到表、公开招标仪式程序文件、密封性检查情况记录表、开标记录表、资格审查汇总表、评标专家签到表、评委守则及承诺书、专家技术标评审评分表、专家商务标评审评分表等；所有文件相关人员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4、评标报告书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5、中标确认书——拟推荐供应商江西星XXX公司；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6、电子化公开招标结果公告——江西省公共资源交易网截图：江西法院融媒体中心基础平台建设项目-HW22012电子化公开招标结果公告，中标信息江西星XXX公司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7、成交通知书——江西星XXX公司，2022.3.4；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8、合同书——2022.3.8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另查见：南昌市公安局经济技术开发区分局网安监控部门上网防护能力建设项目-HW22003（竞争性谈判）、江西省政务云平台设备维保服务采购项目-HW22002（竞争性磋商）；同上。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介绍说，招投标流程是根据国家相关法规的要求制定，程序是一致的。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投标文件均由供应商密封，编号、标注名称，加盖公章，进行标识；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文件均为纸质版资料，利用封签对信息进行防护；存档文件防护主要是温湿度和防虫防鼠、防火等。</w:t>
            </w:r>
          </w:p>
        </w:tc>
        <w:tc>
          <w:tcPr>
            <w:tcW w:w="954" w:type="dxa"/>
            <w:vAlign w:val="top"/>
          </w:tcPr>
          <w:p>
            <w:pPr>
              <w:ind w:left="0" w:leftChars="0" w:firstLine="0" w:firstLineChars="0"/>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ind w:left="0" w:leftChars="0" w:firstLine="0" w:firstLineChars="0"/>
              <w:rPr>
                <w:rFonts w:hint="eastAsia"/>
              </w:rPr>
            </w:pPr>
            <w:r>
              <w:rPr>
                <w:rFonts w:hint="eastAsia"/>
              </w:rPr>
              <w:t>产品和服务的放行</w:t>
            </w:r>
          </w:p>
          <w:p>
            <w:pPr>
              <w:pStyle w:val="2"/>
              <w:ind w:left="0" w:leftChars="0" w:firstLine="0" w:firstLineChars="0"/>
              <w:rPr>
                <w:rFonts w:hint="eastAsia" w:ascii="Times New Roman" w:hAnsi="Times New Roman" w:eastAsia="宋体" w:cs="Times New Roman"/>
                <w:kern w:val="2"/>
                <w:sz w:val="21"/>
                <w:lang w:val="en-US" w:eastAsia="zh-CN" w:bidi="ar-SA"/>
              </w:rPr>
            </w:pPr>
            <w:r>
              <w:rPr>
                <w:rFonts w:hint="eastAsia" w:ascii="宋体" w:hAnsi="宋体" w:cs="Arial"/>
                <w:sz w:val="21"/>
                <w:szCs w:val="21"/>
              </w:rPr>
              <w:t>不合格输出的控制</w:t>
            </w:r>
          </w:p>
        </w:tc>
        <w:tc>
          <w:tcPr>
            <w:tcW w:w="0" w:type="auto"/>
            <w:vAlign w:val="top"/>
          </w:tcPr>
          <w:p>
            <w:pPr>
              <w:spacing w:line="360" w:lineRule="auto"/>
              <w:ind w:left="0" w:leftChars="0" w:firstLine="0" w:firstLineChars="0"/>
              <w:jc w:val="both"/>
              <w:rPr>
                <w:rFonts w:hint="eastAsia" w:ascii="宋体" w:hAnsi="宋体" w:eastAsia="宋体" w:cs="Arial"/>
                <w:kern w:val="2"/>
                <w:sz w:val="21"/>
                <w:szCs w:val="21"/>
                <w:lang w:val="en-US" w:eastAsia="zh-CN" w:bidi="ar-SA"/>
              </w:rPr>
            </w:pPr>
            <w:r>
              <w:rPr>
                <w:rFonts w:hint="eastAsia" w:ascii="宋体" w:hAnsi="宋体" w:eastAsia="宋体" w:cs="Arial"/>
                <w:kern w:val="2"/>
                <w:sz w:val="21"/>
                <w:szCs w:val="21"/>
                <w:lang w:val="en-US" w:eastAsia="zh-CN" w:bidi="ar-SA"/>
              </w:rPr>
              <w:t>Q:8.6</w:t>
            </w:r>
          </w:p>
          <w:p>
            <w:pPr>
              <w:pStyle w:val="2"/>
              <w:ind w:left="0" w:leftChars="0" w:firstLine="0" w:firstLineChars="0"/>
              <w:jc w:val="both"/>
              <w:rPr>
                <w:rFonts w:hint="default" w:ascii="Times New Roman" w:hAnsi="Times New Roman" w:eastAsia="宋体" w:cs="Times New Roman"/>
                <w:kern w:val="2"/>
                <w:sz w:val="21"/>
                <w:lang w:val="en-US" w:eastAsia="zh-CN" w:bidi="ar-SA"/>
              </w:rPr>
            </w:pPr>
            <w:r>
              <w:rPr>
                <w:rFonts w:hint="eastAsia" w:ascii="宋体" w:hAnsi="宋体" w:cs="Arial"/>
                <w:sz w:val="21"/>
                <w:szCs w:val="21"/>
              </w:rPr>
              <w:t>8.7</w:t>
            </w:r>
          </w:p>
        </w:tc>
        <w:tc>
          <w:tcPr>
            <w:tcW w:w="1063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公司</w:t>
            </w:r>
            <w:r>
              <w:rPr>
                <w:rFonts w:hint="eastAsia" w:ascii="Times New Roman" w:hAnsi="Times New Roman" w:eastAsia="宋体" w:cs="Times New Roman"/>
                <w:color w:val="auto"/>
                <w:lang w:val="en-US" w:eastAsia="zh-CN"/>
              </w:rPr>
              <w:t>编制有</w:t>
            </w:r>
            <w:r>
              <w:rPr>
                <w:rFonts w:hint="default" w:ascii="Times New Roman" w:hAnsi="Times New Roman" w:eastAsia="宋体" w:cs="Times New Roman"/>
                <w:color w:val="auto"/>
                <w:lang w:val="en-US" w:eastAsia="zh-CN"/>
              </w:rPr>
              <w:t>《不合格品控制程序》</w:t>
            </w:r>
            <w:r>
              <w:rPr>
                <w:rFonts w:hint="eastAsia" w:ascii="Times New Roman" w:hAnsi="Times New Roman" w:eastAsia="宋体" w:cs="Times New Roman"/>
                <w:color w:val="auto"/>
                <w:lang w:val="en-US" w:eastAsia="zh-CN"/>
              </w:rPr>
              <w:t>，有效文件</w:t>
            </w:r>
            <w:r>
              <w:rPr>
                <w:rFonts w:hint="default" w:ascii="Times New Roman" w:hAnsi="Times New Roman" w:eastAsia="宋体"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介绍说，本公司的服务放行主要是招标文件的确认和开标过程中的评审，对不符合的控制主要有修改文件和废除资格以及废标（流标）。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招标文件的确认——准则：顾客要求、法律法规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介绍书，招标文件的编制是根据与顾客签订的委托协议，以及顾客提供的项目要求和技术参数要求；招标文件编制完成后交付给顾客进行确认，得到同意后进行挂网公告；如顾客对招标文件有不同意见，将根据顾客的要求和法律法规要求进行修改，并将修改后的文件重新交付给顾客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在电脑上查看，顾客对招标文件提出修改要求的记录和公司修改招标文件的记录；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查见“微信聊天记录”，顾客会在微信中进行确认，保留有微信聊天记录截图；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目前交付后未发生不合格。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开标评审——准则：招标文件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查见：江西省高级人民法院融媒体中心基础平台建设项目、南昌市公安局经济技术开发区分局网安监控部门上网防护能力建设项目、江西省政务云平台设备维保服务采购项目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应答文件密封符合性检查表——记录密封情况，供应商签名确认；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资格性和符合性检查汇总表——对资格和符合性进行审查，审核结论通过；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介绍说，如资格和符合性审查不通过，则取消该供应商的投标资格；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介绍说当投标单位不能达到法定的三家以上，则废标。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查见江西省高级人民法院融媒体中心基础平台建设项目第一次招标-HW21126（电子化公开招标），因实质性响应供应商不足三家，废标。</w:t>
            </w:r>
          </w:p>
        </w:tc>
        <w:tc>
          <w:tcPr>
            <w:tcW w:w="954" w:type="dxa"/>
            <w:vAlign w:val="top"/>
          </w:tcPr>
          <w:p>
            <w:pPr>
              <w:ind w:left="0" w:leftChars="0" w:firstLine="0" w:firstLineChars="0"/>
              <w:rPr>
                <w:rFonts w:hint="eastAsia" w:ascii="Times New Roman" w:hAnsi="Times New Roman" w:eastAsia="宋体" w:cs="Times New Roman"/>
                <w:kern w:val="2"/>
                <w:sz w:val="21"/>
                <w:lang w:val="en-US" w:eastAsia="zh-CN" w:bidi="ar-SA"/>
              </w:rPr>
            </w:pPr>
            <w:r>
              <w:rPr>
                <w:rFonts w:hint="eastAsia"/>
                <w:lang w:val="en-US" w:eastAsia="zh-CN"/>
              </w:rPr>
              <w:t>Y</w:t>
            </w:r>
          </w:p>
        </w:tc>
      </w:tr>
    </w:tbl>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183C6B09"/>
    <w:rsid w:val="6A2B2C3F"/>
    <w:rsid w:val="7AFF5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0" w:firstLineChars="20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3811</Words>
  <Characters>4074</Characters>
  <Lines>1</Lines>
  <Paragraphs>1</Paragraphs>
  <TotalTime>57</TotalTime>
  <ScaleCrop>false</ScaleCrop>
  <LinksUpToDate>false</LinksUpToDate>
  <CharactersWithSpaces>4113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2022-07-21T07:58:06Z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1A8AAA028E0943A6B5742684B93BDB3B</vt:lpwstr>
  </property>
  <property fmtid="{D5CDD505-2E9C-101B-9397-08002B2CF9AE}" pid="3" name="KSOProductBuildVer">
    <vt:lpwstr>2052-11.1.0.11875</vt:lpwstr>
  </property>
</Properties>
</file>