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0862-2022-EnMS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江林（贵州）高科发展股份有限公司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江林（贵州）高科发展股份有限公司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贵州省安顺市平坝区夏云工业园龙腾路1号</w:t>
            </w:r>
            <w:bookmarkEnd w:id="6"/>
          </w:p>
        </w:tc>
        <w:tc>
          <w:tcPr>
            <w:tcW w:w="1242" w:type="dxa"/>
            <w:vMerge w:val="restart"/>
            <w:vAlign w:val="center"/>
          </w:tcPr>
          <w:p>
            <w:r>
              <w:rPr>
                <w:rFonts w:hint="eastAsia"/>
              </w:rPr>
              <w:t>邮编</w:t>
            </w:r>
          </w:p>
        </w:tc>
        <w:tc>
          <w:tcPr>
            <w:tcW w:w="1771" w:type="dxa"/>
          </w:tcPr>
          <w:p>
            <w:bookmarkStart w:id="7" w:name="注册邮编"/>
            <w:r>
              <w:t>561100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贵州省安顺市平坝区夏云工业园龙腾路1号</w:t>
            </w:r>
            <w:bookmarkEnd w:id="8"/>
          </w:p>
        </w:tc>
        <w:tc>
          <w:tcPr>
            <w:tcW w:w="1242" w:type="dxa"/>
            <w:vMerge w:val="continue"/>
            <w:vAlign w:val="center"/>
          </w:tcPr>
          <w:p/>
        </w:tc>
        <w:tc>
          <w:tcPr>
            <w:tcW w:w="1771" w:type="dxa"/>
          </w:tcPr>
          <w:p>
            <w:bookmarkStart w:id="9" w:name="办公邮编"/>
            <w:r>
              <w:t>561100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金婷婷</w:t>
            </w:r>
            <w:bookmarkEnd w:id="10"/>
          </w:p>
        </w:tc>
        <w:tc>
          <w:tcPr>
            <w:tcW w:w="1313" w:type="dxa"/>
            <w:vAlign w:val="center"/>
          </w:tcPr>
          <w:p>
            <w:r>
              <w:rPr>
                <w:rFonts w:hint="eastAsia"/>
              </w:rPr>
              <w:t>电话.</w:t>
            </w:r>
          </w:p>
        </w:tc>
        <w:tc>
          <w:tcPr>
            <w:tcW w:w="2180" w:type="dxa"/>
            <w:vAlign w:val="center"/>
          </w:tcPr>
          <w:p>
            <w:bookmarkStart w:id="11" w:name="联系人电话"/>
            <w:r>
              <w:t>13508533314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秦迎</w:t>
            </w:r>
            <w:bookmarkEnd w:id="13"/>
          </w:p>
        </w:tc>
        <w:tc>
          <w:tcPr>
            <w:tcW w:w="1313" w:type="dxa"/>
            <w:vAlign w:val="center"/>
          </w:tcPr>
          <w:p>
            <w:r>
              <w:rPr>
                <w:rFonts w:hint="eastAsia"/>
              </w:rPr>
              <w:t>管理者代表</w:t>
            </w:r>
          </w:p>
        </w:tc>
        <w:tc>
          <w:tcPr>
            <w:tcW w:w="2180" w:type="dxa"/>
          </w:tcPr>
          <w:p>
            <w:bookmarkStart w:id="14" w:name="管理者代表"/>
            <w:r>
              <w:t>廖龙凤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w:t>
            </w:r>
            <w:r>
              <w:rPr>
                <w:rFonts w:hint="eastAsia"/>
                <w:lang w:eastAsia="zh-CN"/>
              </w:rPr>
              <w:t>□</w:t>
            </w:r>
            <w:r>
              <w:rPr>
                <w:rFonts w:hint="eastAsia"/>
              </w:rPr>
              <w:t>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5225" cy="365506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75225" cy="365506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2022年07月15日 上午至2022年07月15日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4"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ascii="Times New Roman" w:hAnsi="Times New Roman" w:eastAsia="宋体" w:cs="Times New Roman"/>
                <w:lang w:val="en-US" w:eastAsia="zh-CN"/>
              </w:rPr>
              <w:t>RB/T114-2014能源管理体系 纯碱、焦化、橡胶制品、制药等化工企业认证要求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hint="eastAsia"/>
                <w:lang w:val="de-DE"/>
              </w:rPr>
            </w:pPr>
            <w:r>
              <w:rPr>
                <w:rFonts w:hint="eastAsia"/>
                <w:lang w:val="de-DE" w:eastAsia="zh-CN"/>
              </w:rPr>
              <w:t>☑</w:t>
            </w:r>
            <w:r>
              <w:rPr>
                <w:rFonts w:hint="eastAsia"/>
                <w:lang w:val="de-DE"/>
              </w:rPr>
              <w:t>适用于受审核方的法律法规及其他要求</w:t>
            </w:r>
          </w:p>
          <w:p>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eastAsia="宋体"/>
                <w:sz w:val="21"/>
                <w:szCs w:val="21"/>
                <w:lang w:val="en-US" w:eastAsia="zh-CN"/>
              </w:rPr>
            </w:pPr>
            <w:r>
              <w:rPr>
                <w:rFonts w:hint="eastAsia" w:eastAsia="宋体"/>
                <w:sz w:val="21"/>
                <w:szCs w:val="21"/>
                <w:lang w:val="en-US" w:eastAsia="zh-CN"/>
              </w:rPr>
              <w:t>现场审核：贵州省安顺市平坝区夏云工业园龙腾路1号（周涛）</w:t>
            </w:r>
          </w:p>
          <w:p>
            <w:pPr>
              <w:rPr>
                <w:rFonts w:ascii="宋体"/>
                <w:b/>
                <w:color w:val="0000FF"/>
                <w:szCs w:val="21"/>
              </w:rPr>
            </w:pPr>
            <w:r>
              <w:rPr>
                <w:rFonts w:hint="eastAsia" w:eastAsia="宋体" w:cs="Arial"/>
                <w:b/>
                <w:bCs/>
                <w:color w:val="0000FF"/>
                <w:szCs w:val="21"/>
                <w:lang w:val="en-US" w:eastAsia="zh-CN"/>
              </w:rPr>
              <w:t>远程审核：广东省深圳市（王宁敏）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32" w:type="dxa"/>
            <w:vMerge w:val="restart"/>
            <w:vAlign w:val="center"/>
          </w:tcPr>
          <w:p>
            <w:r>
              <w:rPr>
                <w:rFonts w:hint="eastAsia"/>
              </w:rPr>
              <w:t>审核范围</w:t>
            </w:r>
          </w:p>
        </w:tc>
        <w:tc>
          <w:tcPr>
            <w:tcW w:w="4616" w:type="dxa"/>
            <w:gridSpan w:val="2"/>
            <w:vMerge w:val="restart"/>
            <w:vAlign w:val="center"/>
          </w:tcPr>
          <w:p>
            <w:bookmarkStart w:id="29" w:name="审核范围"/>
            <w:r>
              <w:t>改性塑料的设计和生产所涉及的能源管理活动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04"/>
        <w:gridCol w:w="1334"/>
        <w:gridCol w:w="1977"/>
        <w:gridCol w:w="14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0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133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77"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9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江林（贵州）高科发展股份有限公司</w:t>
            </w:r>
            <w:r>
              <w:rPr>
                <w:rFonts w:hint="eastAsia"/>
                <w:sz w:val="21"/>
                <w:szCs w:val="21"/>
                <w:lang w:val="en-US" w:eastAsia="zh-CN"/>
              </w:rPr>
              <w:t>/</w:t>
            </w:r>
            <w:r>
              <w:rPr>
                <w:sz w:val="21"/>
                <w:szCs w:val="21"/>
              </w:rPr>
              <w:t>贵州省安顺市平坝区夏云工业园龙腾路1号</w:t>
            </w:r>
          </w:p>
        </w:tc>
        <w:tc>
          <w:tcPr>
            <w:tcW w:w="1504" w:type="dxa"/>
          </w:tcPr>
          <w:p>
            <w:pPr>
              <w:spacing w:before="40" w:after="40"/>
              <w:rPr>
                <w:rFonts w:eastAsia="黑体"/>
                <w:szCs w:val="21"/>
                <w:lang w:val="de-DE" w:eastAsia="ja-JP"/>
              </w:rPr>
            </w:pPr>
            <w:r>
              <w:rPr>
                <w:sz w:val="21"/>
                <w:szCs w:val="21"/>
              </w:rPr>
              <w:t>贵州省安顺市平坝区夏云工业园龙腾路1号</w:t>
            </w:r>
          </w:p>
        </w:tc>
        <w:tc>
          <w:tcPr>
            <w:tcW w:w="1334"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涉及能源管理体系人数15人（企业总人数60人）</w:t>
            </w:r>
          </w:p>
        </w:tc>
        <w:tc>
          <w:tcPr>
            <w:tcW w:w="1977" w:type="dxa"/>
            <w:vAlign w:val="center"/>
          </w:tcPr>
          <w:p>
            <w:pPr>
              <w:pStyle w:val="20"/>
              <w:rPr>
                <w:rFonts w:eastAsia="黑体" w:cs="Arial"/>
                <w:sz w:val="21"/>
                <w:szCs w:val="21"/>
                <w:lang w:val="en-US" w:eastAsia="ja-JP"/>
              </w:rPr>
            </w:pPr>
            <w:r>
              <w:rPr>
                <w:rFonts w:hint="eastAsia" w:ascii="宋体" w:hAnsi="宋体" w:cs="宋体"/>
                <w:color w:val="000000"/>
                <w:kern w:val="0"/>
                <w:szCs w:val="21"/>
              </w:rPr>
              <w:t>改性塑料的设计和生产所涉及的能源管理活动</w:t>
            </w:r>
          </w:p>
        </w:tc>
        <w:tc>
          <w:tcPr>
            <w:tcW w:w="1495" w:type="dxa"/>
            <w:vAlign w:val="center"/>
          </w:tcPr>
          <w:p>
            <w:pPr>
              <w:rPr>
                <w:rFonts w:hint="eastAsia" w:ascii="宋体" w:hAnsi="宋体"/>
                <w:b/>
                <w:sz w:val="21"/>
                <w:szCs w:val="21"/>
              </w:rPr>
            </w:pPr>
            <w:r>
              <w:rPr>
                <w:rFonts w:hint="eastAsia" w:ascii="宋体" w:hAnsi="宋体"/>
                <w:b/>
                <w:sz w:val="21"/>
                <w:szCs w:val="21"/>
              </w:rPr>
              <w:t>GB/T 23331-2020</w:t>
            </w:r>
          </w:p>
          <w:p>
            <w:pPr>
              <w:spacing w:before="40" w:after="40"/>
              <w:rPr>
                <w:rFonts w:eastAsia="黑体"/>
                <w:szCs w:val="21"/>
                <w:lang w:eastAsia="ja-JP"/>
              </w:rPr>
            </w:pPr>
            <w:r>
              <w:rPr>
                <w:rFonts w:hint="eastAsia" w:ascii="宋体" w:hAnsi="宋体" w:eastAsia="宋体"/>
                <w:b/>
                <w:sz w:val="21"/>
                <w:szCs w:val="21"/>
                <w:lang w:val="en-US" w:eastAsia="zh-CN"/>
              </w:rPr>
              <w:t>RB/T114-2014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r>
              <w:t>2.3</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514985</wp:posOffset>
                  </wp:positionH>
                  <wp:positionV relativeFrom="paragraph">
                    <wp:posOffset>20320</wp:posOffset>
                  </wp:positionV>
                  <wp:extent cx="692150" cy="342900"/>
                  <wp:effectExtent l="0" t="0" r="635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92150" cy="3429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kinsoku/>
              <w:wordWrap/>
              <w:overflowPunct/>
              <w:topLinePunct w:val="0"/>
              <w:bidi w:val="0"/>
              <w:snapToGrid/>
              <w:spacing w:line="360" w:lineRule="auto"/>
              <w:textAlignment w:val="auto"/>
              <w:rPr>
                <w:rFonts w:hint="eastAsia" w:ascii="Times New Roman" w:hAnsi="Times New Roman" w:cs="Times New Roman"/>
                <w:u w:val="single"/>
              </w:rPr>
            </w:pPr>
            <w:r>
              <w:rPr>
                <w:rFonts w:hint="eastAsia"/>
              </w:rPr>
              <w:t>最高管理者制定了文件化的管理体系方针：</w:t>
            </w:r>
            <w:r>
              <w:rPr>
                <w:rFonts w:hint="eastAsia" w:ascii="Times New Roman" w:hAnsi="Times New Roman" w:cs="Times New Roman"/>
                <w:u w:val="single"/>
              </w:rPr>
              <w:t>遵守法规 清洁生产</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节能降耗</w:t>
            </w:r>
            <w:r>
              <w:rPr>
                <w:rFonts w:hint="eastAsia" w:ascii="Times New Roman" w:hAnsi="Times New Roman" w:cs="Times New Roman"/>
                <w:u w:val="single"/>
              </w:rPr>
              <w:t xml:space="preserve"> 创新改造</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营销部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ascii="Times New Roman" w:hAnsi="Times New Roman" w:eastAsia="宋体" w:cs="Times New Roman"/>
                <w:lang w:val="en-US" w:eastAsia="zh-CN"/>
              </w:rPr>
              <w:t>廖龙凤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t>□能源评审报告编号/日期：</w:t>
            </w:r>
            <w:r>
              <w:rPr>
                <w:rFonts w:hint="eastAsia"/>
                <w:lang w:val="en-US" w:eastAsia="zh-CN"/>
              </w:rPr>
              <w:t>2022.7.6</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tbl>
            <w:tblPr>
              <w:tblStyle w:val="8"/>
              <w:tblpPr w:leftFromText="180" w:rightFromText="180" w:vertAnchor="text" w:horzAnchor="page" w:tblpX="89"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节能目标</w:t>
                  </w:r>
                </w:p>
              </w:tc>
              <w:tc>
                <w:tcPr>
                  <w:tcW w:w="3136" w:type="dxa"/>
                  <w:shd w:val="clear" w:color="auto" w:fill="auto"/>
                </w:tcPr>
                <w:p>
                  <w:pPr>
                    <w:shd w:val="clear" w:color="auto" w:fill="EBF1DE" w:themeFill="accent3" w:themeFillTint="32"/>
                    <w:rPr>
                      <w:rFonts w:hint="eastAsia"/>
                    </w:rPr>
                  </w:pPr>
                  <w:r>
                    <w:rPr>
                      <w:rFonts w:hint="eastAsia"/>
                    </w:rPr>
                    <w:t>控制措施</w:t>
                  </w:r>
                </w:p>
              </w:tc>
              <w:tc>
                <w:tcPr>
                  <w:tcW w:w="1350" w:type="dxa"/>
                  <w:shd w:val="clear" w:color="auto" w:fill="auto"/>
                </w:tcPr>
                <w:p>
                  <w:pPr>
                    <w:shd w:val="clear" w:color="auto" w:fill="EBF1DE" w:themeFill="accent3" w:themeFillTint="32"/>
                    <w:rPr>
                      <w:rFonts w:hint="eastAsia"/>
                    </w:rPr>
                  </w:pPr>
                  <w:r>
                    <w:rPr>
                      <w:rFonts w:hint="eastAsia"/>
                    </w:rPr>
                    <w:t>责任部门</w:t>
                  </w:r>
                </w:p>
              </w:tc>
              <w:tc>
                <w:tcPr>
                  <w:tcW w:w="1774" w:type="dxa"/>
                  <w:shd w:val="clear" w:color="auto" w:fill="auto"/>
                </w:tcPr>
                <w:p>
                  <w:pPr>
                    <w:shd w:val="clear" w:color="auto" w:fill="EBF1DE" w:themeFill="accent3" w:themeFillTint="32"/>
                    <w:rPr>
                      <w:rFonts w:hint="eastAsia"/>
                    </w:rPr>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lang w:val="en-US" w:eastAsia="zh-CN"/>
                    </w:rPr>
                    <w:t xml:space="preserve">单位产品能耗≦77.96kgce/t </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US" w:eastAsia="zh-CN"/>
                    </w:rPr>
                    <w:t>加强生产管理，保持生产稳定</w:t>
                  </w:r>
                </w:p>
              </w:tc>
              <w:tc>
                <w:tcPr>
                  <w:tcW w:w="1350"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营销</w:t>
                  </w:r>
                  <w:bookmarkStart w:id="34" w:name="_GoBack"/>
                  <w:bookmarkEnd w:id="34"/>
                  <w:r>
                    <w:rPr>
                      <w:rFonts w:hint="eastAsia"/>
                      <w:lang w:val="en-US" w:eastAsia="zh-CN"/>
                    </w:rPr>
                    <w:t>部</w:t>
                  </w:r>
                </w:p>
              </w:tc>
              <w:tc>
                <w:tcPr>
                  <w:tcW w:w="1774" w:type="dxa"/>
                  <w:shd w:val="clear" w:color="auto" w:fill="auto"/>
                  <w:vAlign w:val="center"/>
                </w:tcPr>
                <w:p>
                  <w:pPr>
                    <w:shd w:val="clear" w:color="auto" w:fill="EBF1DE" w:themeFill="accent3" w:themeFillTint="32"/>
                    <w:rPr>
                      <w:rFonts w:hint="eastAsia"/>
                      <w:lang w:val="en-GB"/>
                    </w:rPr>
                  </w:pPr>
                  <w:r>
                    <w:rPr>
                      <w:rFonts w:hint="eastAsia"/>
                      <w:lang w:val="en-US" w:eastAsia="zh-CN"/>
                    </w:rPr>
                    <w:t xml:space="preserve">69.63kgce/t </w:t>
                  </w:r>
                </w:p>
              </w:tc>
            </w:tr>
          </w:tbl>
          <w:p>
            <w:pPr>
              <w:shd w:val="clear" w:color="auto" w:fill="EBF1DE" w:themeFill="accent3" w:themeFillTint="32"/>
            </w:pPr>
            <w:r>
              <w:rPr>
                <w:rFonts w:hint="eastAsia"/>
              </w:rPr>
              <w:t>节能目标实现情况的评价，及其控制措施是：</w:t>
            </w:r>
          </w:p>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2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占地面积6800平方，生产车间2个，库房2个，实验室1个，；</w:t>
            </w:r>
          </w:p>
          <w:p>
            <w:pPr>
              <w:shd w:val="clear" w:color="auto" w:fill="EBF1DE" w:themeFill="accent3" w:themeFillTint="32"/>
              <w:rPr>
                <w:u w:val="single"/>
              </w:rPr>
            </w:pPr>
            <w:r>
              <w:rPr>
                <w:rFonts w:hint="eastAsia"/>
              </w:rPr>
              <w:t>主要生产设备有：</w:t>
            </w:r>
            <w:r>
              <w:rPr>
                <w:rFonts w:hint="eastAsia"/>
                <w:u w:val="single"/>
                <w:lang w:val="en-US" w:eastAsia="zh-CN"/>
              </w:rPr>
              <w:t>颗粒挤出生产线、均化仓、打粉机、破碎机、切粒机</w:t>
            </w:r>
            <w:r>
              <w:rPr>
                <w:rFonts w:hint="eastAsia" w:ascii="Times New Roman" w:hAnsi="Times New Roman" w:eastAsia="宋体" w:cs="Times New Roman"/>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颗粒挤出生产线、均化仓、打粉机、破碎机、空压机（</w:t>
            </w:r>
            <w:r>
              <w:rPr>
                <w:rFonts w:hint="eastAsia" w:ascii="Times New Roman" w:hAnsi="Times New Roman" w:eastAsia="宋体" w:cs="Times New Roman"/>
                <w:u w:val="single"/>
                <w:lang w:val="en-US" w:eastAsia="zh-CN"/>
              </w:rPr>
              <w:t>列</w:t>
            </w:r>
            <w:r>
              <w:rPr>
                <w:rFonts w:hint="eastAsia"/>
                <w:u w:val="single"/>
              </w:rPr>
              <w:t>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ascii="Times New Roman" w:hAnsi="Times New Roman" w:eastAsia="宋体" w:cs="Times New Roman"/>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ascii="Times New Roman" w:hAnsi="Times New Roman" w:eastAsia="宋体" w:cs="Times New Roman"/>
                <w:lang w:val="en-US" w:eastAsia="zh-CN"/>
              </w:rPr>
              <w:t>电表由当地电网管理。（已经告知企业索取电表的校检证书）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rPr>
                <w:rFonts w:hint="eastAsia"/>
              </w:rPr>
            </w:pPr>
            <w:r>
              <w:rPr>
                <w:rFonts w:hint="eastAsia"/>
              </w:rPr>
              <w:t>审核期间内，设计和开发新产品/项目名称：</w:t>
            </w:r>
            <w:r>
              <w:rPr>
                <w:rFonts w:hint="eastAsia"/>
                <w:lang w:val="en-US" w:eastAsia="zh-CN"/>
              </w:rPr>
              <w:t>无</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加强节电管理，定期检查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26</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tbl>
      <w:tblPr>
        <w:tblStyle w:val="8"/>
        <w:tblW w:w="9989"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537"/>
        <w:gridCol w:w="745"/>
        <w:gridCol w:w="745"/>
        <w:gridCol w:w="745"/>
        <w:gridCol w:w="745"/>
        <w:gridCol w:w="745"/>
        <w:gridCol w:w="745"/>
        <w:gridCol w:w="745"/>
        <w:gridCol w:w="745"/>
        <w:gridCol w:w="74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4.1</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4.2</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4.3</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4.4</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5.1</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5.2</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5.3</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6.1</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6.2</w:t>
            </w:r>
          </w:p>
        </w:tc>
        <w:tc>
          <w:tcPr>
            <w:tcW w:w="747"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7"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7"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6.4</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6.5</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6.6</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7.1</w:t>
            </w:r>
          </w:p>
        </w:tc>
        <w:tc>
          <w:tcPr>
            <w:tcW w:w="745" w:type="dxa"/>
            <w:shd w:val="clear" w:color="auto" w:fill="EBF1DE" w:themeFill="accent3" w:themeFillTint="32"/>
            <w:vAlign w:val="center"/>
          </w:tcPr>
          <w:p>
            <w:pPr>
              <w:shd w:val="clear" w:color="auto" w:fill="EBF1DE" w:themeFill="accent3" w:themeFillTint="32"/>
              <w:rPr>
                <w:rFonts w:hint="eastAsia"/>
              </w:rPr>
            </w:pPr>
            <w:r>
              <w:rPr>
                <w:rFonts w:hint="eastAsia"/>
              </w:rPr>
              <w:t>7.2</w:t>
            </w:r>
          </w:p>
        </w:tc>
        <w:tc>
          <w:tcPr>
            <w:tcW w:w="745" w:type="dxa"/>
            <w:shd w:val="clear" w:color="auto" w:fill="EBF1DE" w:themeFill="accent3" w:themeFillTint="32"/>
            <w:vAlign w:val="center"/>
          </w:tcPr>
          <w:p>
            <w:pPr>
              <w:shd w:val="clear" w:color="auto" w:fill="EBF1DE" w:themeFill="accent3" w:themeFillTint="32"/>
              <w:rPr>
                <w:rFonts w:hint="eastAsia"/>
              </w:rPr>
            </w:pPr>
            <w:r>
              <w:rPr>
                <w:rFonts w:hint="eastAsia"/>
              </w:rPr>
              <w:t>7.3</w:t>
            </w:r>
          </w:p>
        </w:tc>
        <w:tc>
          <w:tcPr>
            <w:tcW w:w="745" w:type="dxa"/>
            <w:shd w:val="clear" w:color="auto" w:fill="EBF1DE" w:themeFill="accent3" w:themeFillTint="32"/>
            <w:vAlign w:val="center"/>
          </w:tcPr>
          <w:p>
            <w:pPr>
              <w:shd w:val="clear" w:color="auto" w:fill="EBF1DE" w:themeFill="accent3" w:themeFillTint="32"/>
              <w:rPr>
                <w:rFonts w:hint="eastAsia"/>
              </w:rPr>
            </w:pPr>
            <w:r>
              <w:rPr>
                <w:rFonts w:hint="eastAsia"/>
              </w:rPr>
              <w:t>7.4</w:t>
            </w:r>
          </w:p>
        </w:tc>
        <w:tc>
          <w:tcPr>
            <w:tcW w:w="745" w:type="dxa"/>
            <w:shd w:val="clear" w:color="auto" w:fill="EBF1DE" w:themeFill="accent3" w:themeFillTint="32"/>
            <w:vAlign w:val="center"/>
          </w:tcPr>
          <w:p>
            <w:pPr>
              <w:shd w:val="clear" w:color="auto" w:fill="EBF1DE" w:themeFill="accent3" w:themeFillTint="32"/>
              <w:rPr>
                <w:rFonts w:hint="eastAsia"/>
              </w:rPr>
            </w:pPr>
            <w:r>
              <w:rPr>
                <w:rFonts w:hint="eastAsia"/>
              </w:rPr>
              <w:t>7.5</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8.1</w:t>
            </w:r>
          </w:p>
        </w:tc>
        <w:tc>
          <w:tcPr>
            <w:tcW w:w="747"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7"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rPr>
                <w:rFonts w:hint="eastAsia"/>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7"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rPr>
                <w:rFonts w:hint="eastAsia"/>
              </w:rPr>
            </w:pPr>
            <w:r>
              <w:rPr>
                <w:rFonts w:hint="eastAsia"/>
              </w:rPr>
              <w:t>8.3</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9.1</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9.2</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9.3</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10</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7"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7"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37"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5" w:type="dxa"/>
            <w:shd w:val="clear" w:color="auto" w:fill="EBF1DE" w:themeFill="accent3" w:themeFillTint="32"/>
            <w:vAlign w:val="center"/>
          </w:tcPr>
          <w:p>
            <w:pPr>
              <w:shd w:val="clear" w:color="auto" w:fill="EBF1DE" w:themeFill="accent3" w:themeFillTint="32"/>
              <w:rPr>
                <w:rFonts w:hint="eastAsia"/>
                <w:lang w:eastAsia="ja-JP"/>
              </w:rPr>
            </w:pPr>
          </w:p>
        </w:tc>
        <w:tc>
          <w:tcPr>
            <w:tcW w:w="747" w:type="dxa"/>
            <w:shd w:val="clear" w:color="auto" w:fill="EBF1DE" w:themeFill="accent3" w:themeFillTint="32"/>
            <w:vAlign w:val="center"/>
          </w:tcPr>
          <w:p>
            <w:pPr>
              <w:shd w:val="clear" w:color="auto" w:fill="EBF1DE" w:themeFill="accent3" w:themeFillTint="32"/>
              <w:rPr>
                <w:rFonts w:hint="eastAsia"/>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3A7119A"/>
    <w:rsid w:val="4D3124E7"/>
    <w:rsid w:val="7DE22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86</TotalTime>
  <ScaleCrop>false</ScaleCrop>
  <LinksUpToDate>false</LinksUpToDate>
  <CharactersWithSpaces>26902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2022-07-15T07:59:22Z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