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0877-2022-Q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宝鸡市泰泽工贸有限公司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宝鸡市泰泽工贸有限公司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陕西省宝鸡市金台区硖石镇红硖村河滩引渭渠南</w:t>
            </w:r>
            <w:bookmarkEnd w:id="6"/>
          </w:p>
        </w:tc>
        <w:tc>
          <w:tcPr>
            <w:tcW w:w="1242" w:type="dxa"/>
            <w:vMerge w:val="restart"/>
            <w:vAlign w:val="center"/>
          </w:tcPr>
          <w:p>
            <w:r>
              <w:rPr>
                <w:rFonts w:hint="eastAsia"/>
              </w:rPr>
              <w:t>邮编</w:t>
            </w:r>
          </w:p>
        </w:tc>
        <w:tc>
          <w:tcPr>
            <w:tcW w:w="1771" w:type="dxa"/>
          </w:tcPr>
          <w:p>
            <w:bookmarkStart w:id="7" w:name="注册邮编"/>
            <w:r>
              <w:t>721000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陕西省宝鸡市金台区硖石镇红硖村河滩引渭渠南</w:t>
            </w:r>
            <w:bookmarkEnd w:id="8"/>
          </w:p>
        </w:tc>
        <w:tc>
          <w:tcPr>
            <w:tcW w:w="1242" w:type="dxa"/>
            <w:vMerge w:val="continue"/>
            <w:vAlign w:val="center"/>
          </w:tcPr>
          <w:p/>
        </w:tc>
        <w:tc>
          <w:tcPr>
            <w:tcW w:w="1771" w:type="dxa"/>
          </w:tcPr>
          <w:p>
            <w:bookmarkStart w:id="9" w:name="办公邮编"/>
            <w:r>
              <w:t>721000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刘哲</w:t>
            </w:r>
            <w:bookmarkEnd w:id="10"/>
          </w:p>
        </w:tc>
        <w:tc>
          <w:tcPr>
            <w:tcW w:w="1313" w:type="dxa"/>
            <w:vAlign w:val="center"/>
          </w:tcPr>
          <w:p>
            <w:r>
              <w:rPr>
                <w:rFonts w:hint="eastAsia"/>
              </w:rPr>
              <w:t>电话.</w:t>
            </w:r>
          </w:p>
        </w:tc>
        <w:tc>
          <w:tcPr>
            <w:tcW w:w="2180" w:type="dxa"/>
            <w:vAlign w:val="center"/>
          </w:tcPr>
          <w:p>
            <w:bookmarkStart w:id="11" w:name="联系人电话"/>
            <w:r>
              <w:t>18992707007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刘哲</w:t>
            </w:r>
            <w:bookmarkEnd w:id="13"/>
          </w:p>
        </w:tc>
        <w:tc>
          <w:tcPr>
            <w:tcW w:w="1313" w:type="dxa"/>
            <w:vAlign w:val="center"/>
          </w:tcPr>
          <w:p>
            <w:r>
              <w:rPr>
                <w:rFonts w:hint="eastAsia"/>
              </w:rPr>
              <w:t>管理者代表</w:t>
            </w:r>
          </w:p>
        </w:tc>
        <w:tc>
          <w:tcPr>
            <w:tcW w:w="2180" w:type="dxa"/>
          </w:tcPr>
          <w:p>
            <w:bookmarkStart w:id="14" w:name="管理者代表"/>
            <w:r>
              <w:t>刘哲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采购原材料/辅料——浇铸模制作——熔炼（需确认过程）——浇铸（需确认过程）——铸件打磨—— 粗加工——精加工（关键过程）——检验——出厂交付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2022年07月05日 上午至2022年07月06日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陕西省宝鸡市金台区硖石镇红硖村河滩引渭渠南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电气设备配件的一般机械加工及销售，铝件的铸造</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17.05.03;17.10.02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rFonts w:hint="eastAsia" w:eastAsia="黑体"/>
                <w:szCs w:val="21"/>
                <w:lang w:val="de-DE" w:eastAsia="ja-JP"/>
              </w:rPr>
              <w:t>宝鸡市泰泽工贸有限公司</w:t>
            </w:r>
            <w:r>
              <w:rPr>
                <w:rFonts w:hint="eastAsia" w:eastAsia="黑体"/>
                <w:szCs w:val="21"/>
                <w:lang w:val="en-US" w:eastAsia="zh-CN"/>
              </w:rPr>
              <w:t>/</w:t>
            </w:r>
            <w:r>
              <w:rPr>
                <w:rFonts w:hint="eastAsia" w:eastAsia="黑体"/>
                <w:szCs w:val="21"/>
                <w:lang w:val="de-DE" w:eastAsia="ja-JP"/>
              </w:rPr>
              <w:t>陕西省宝鸡市金台区硖石镇红硖村河滩引渭渠南</w:t>
            </w:r>
          </w:p>
        </w:tc>
        <w:tc>
          <w:tcPr>
            <w:tcW w:w="2267" w:type="dxa"/>
            <w:vAlign w:val="top"/>
          </w:tcPr>
          <w:p>
            <w:pPr>
              <w:spacing w:before="40" w:after="40"/>
              <w:rPr>
                <w:lang w:val="de-DE" w:eastAsia="ja-JP"/>
              </w:rPr>
            </w:pPr>
            <w:r>
              <w:rPr>
                <w:rFonts w:hint="eastAsia" w:eastAsia="黑体"/>
                <w:szCs w:val="21"/>
                <w:lang w:val="de-DE" w:eastAsia="ja-JP"/>
              </w:rPr>
              <w:t>陕西省宝鸡市金台区硖石镇红硖村河滩引渭渠南</w:t>
            </w:r>
          </w:p>
        </w:tc>
        <w:tc>
          <w:tcPr>
            <w:tcW w:w="571" w:type="dxa"/>
            <w:vAlign w:val="center"/>
          </w:tcPr>
          <w:p>
            <w:pPr>
              <w:spacing w:before="40" w:after="40"/>
              <w:rPr>
                <w:lang w:eastAsia="ja-JP"/>
              </w:rPr>
            </w:pPr>
            <w:r>
              <w:rPr>
                <w:rFonts w:hint="eastAsia" w:eastAsia="黑体"/>
                <w:szCs w:val="21"/>
                <w:lang w:val="en-US" w:eastAsia="zh-CN"/>
              </w:rPr>
              <w:t>12</w:t>
            </w:r>
          </w:p>
        </w:tc>
        <w:tc>
          <w:tcPr>
            <w:tcW w:w="2803" w:type="dxa"/>
            <w:vAlign w:val="center"/>
          </w:tcPr>
          <w:p>
            <w:pPr>
              <w:pStyle w:val="20"/>
              <w:rPr>
                <w:lang w:eastAsia="ja-JP"/>
              </w:rPr>
            </w:pPr>
            <w:r>
              <w:rPr>
                <w:rFonts w:hint="eastAsia" w:eastAsia="黑体" w:cs="Arial"/>
                <w:sz w:val="21"/>
                <w:szCs w:val="21"/>
                <w:lang w:val="en-US" w:eastAsia="ja-JP"/>
              </w:rPr>
              <w:t>电气设备配件的一般机械加工及销售，铝件的铸造</w:t>
            </w:r>
          </w:p>
        </w:tc>
        <w:tc>
          <w:tcPr>
            <w:tcW w:w="669" w:type="dxa"/>
            <w:vAlign w:val="center"/>
          </w:tcPr>
          <w:p>
            <w:pPr>
              <w:spacing w:before="40" w:after="40"/>
              <w:rPr>
                <w:lang w:eastAsia="ja-JP"/>
              </w:rPr>
            </w:pPr>
            <w:r>
              <w:rPr>
                <w:rFonts w:hint="eastAsia" w:eastAsia="黑体"/>
                <w:szCs w:val="21"/>
                <w:lang w:eastAsia="ja-JP"/>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eastAsia="黑体"/>
                    <w:szCs w:val="21"/>
                  </w:rPr>
                  <w:sym w:font="Wingdings" w:char="00FE"/>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17.05.03,17.10.02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292100</wp:posOffset>
                  </wp:positionH>
                  <wp:positionV relativeFrom="paragraph">
                    <wp:posOffset>345440</wp:posOffset>
                  </wp:positionV>
                  <wp:extent cx="645795" cy="53594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45795" cy="53594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2022.7.6</w:t>
            </w:r>
          </w:p>
        </w:tc>
      </w:tr>
    </w:tbl>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最高管理者制定了文件化的管理体系方针：技术创新   规范服务</w:t>
            </w:r>
            <w:r>
              <w:rPr>
                <w:rFonts w:hint="eastAsia"/>
                <w:lang w:val="en-US" w:eastAsia="zh-CN"/>
              </w:rPr>
              <w:t xml:space="preserve">   </w:t>
            </w:r>
            <w:r>
              <w:rPr>
                <w:rFonts w:hint="eastAsia"/>
              </w:rPr>
              <w:t>持续改进   顾客满意</w:t>
            </w:r>
          </w:p>
          <w:p>
            <w:pPr>
              <w:pStyle w:val="2"/>
            </w:pPr>
            <w:bookmarkStart w:id="34" w:name="_GoBack"/>
            <w:bookmarkEnd w:id="34"/>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rPr>
                      <w:rFonts w:hint="eastAsia"/>
                      <w:lang w:val="en-US" w:eastAsia="zh-CN"/>
                    </w:rPr>
                    <w:t>给</w:t>
                  </w:r>
                  <w:r>
                    <w:t>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质量目标</w:t>
                  </w:r>
                </w:p>
              </w:tc>
              <w:tc>
                <w:tcPr>
                  <w:tcW w:w="3136"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计算方法</w:t>
                  </w:r>
                </w:p>
              </w:tc>
              <w:tc>
                <w:tcPr>
                  <w:tcW w:w="1350"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责任部门</w:t>
                  </w:r>
                </w:p>
              </w:tc>
              <w:tc>
                <w:tcPr>
                  <w:tcW w:w="1774"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tabs>
                      <w:tab w:val="left" w:pos="10080"/>
                    </w:tabs>
                    <w:jc w:val="left"/>
                    <w:rPr>
                      <w:rFonts w:hint="eastAsia" w:ascii="Times New Roman" w:hAnsi="Times New Roman" w:eastAsia="宋体" w:cs="Times New Roman"/>
                      <w:kern w:val="2"/>
                      <w:sz w:val="21"/>
                      <w:szCs w:val="21"/>
                      <w:lang w:val="en-US" w:eastAsia="zh-CN" w:bidi="ar-SA"/>
                    </w:rPr>
                  </w:pPr>
                  <w:r>
                    <w:rPr>
                      <w:rFonts w:hint="eastAsia"/>
                      <w:szCs w:val="21"/>
                    </w:rPr>
                    <w:t>产品一次检验合格率≥95％</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18"/>
                      <w:highlight w:val="cyan"/>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tabs>
                      <w:tab w:val="left" w:pos="10080"/>
                    </w:tabs>
                    <w:jc w:val="left"/>
                    <w:rPr>
                      <w:rFonts w:hint="eastAsia" w:ascii="Times New Roman" w:hAnsi="Times New Roman" w:eastAsia="宋体" w:cs="Times New Roman"/>
                      <w:kern w:val="2"/>
                      <w:sz w:val="21"/>
                      <w:szCs w:val="21"/>
                      <w:lang w:val="en-US" w:eastAsia="zh-CN" w:bidi="ar-SA"/>
                    </w:rPr>
                  </w:pPr>
                  <w:r>
                    <w:rPr>
                      <w:rFonts w:hint="eastAsia"/>
                      <w:szCs w:val="21"/>
                    </w:rPr>
                    <w:t>顾客满意度≥90分</w:t>
                  </w:r>
                </w:p>
              </w:tc>
              <w:tc>
                <w:tcPr>
                  <w:tcW w:w="3136" w:type="dxa"/>
                  <w:shd w:val="clear" w:color="auto" w:fill="auto"/>
                  <w:vAlign w:val="center"/>
                </w:tcPr>
                <w:p>
                  <w:pPr>
                    <w:tabs>
                      <w:tab w:val="left" w:pos="10080"/>
                    </w:tabs>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根据顾客满意度调查结果统计测评</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default" w:ascii="宋体" w:hAnsi="宋体" w:eastAsia="宋体" w:cs="Times New Roman"/>
                      <w:lang w:val="en-US" w:eastAsia="zh-CN"/>
                    </w:rPr>
                    <w:t>市场部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宋体" w:hAnsi="宋体" w:eastAsia="宋体" w:cs="Times New Roman"/>
                    </w:rPr>
                  </w:pPr>
                </w:p>
              </w:tc>
              <w:tc>
                <w:tcPr>
                  <w:tcW w:w="3136" w:type="dxa"/>
                  <w:shd w:val="clear" w:color="auto" w:fill="auto"/>
                  <w:vAlign w:val="top"/>
                </w:tcPr>
                <w:p>
                  <w:pPr>
                    <w:shd w:val="clear" w:color="auto" w:fill="C7DAF1" w:themeFill="text2" w:themeFillTint="32"/>
                    <w:rPr>
                      <w:rFonts w:ascii="宋体" w:hAnsi="宋体" w:eastAsia="宋体" w:cs="Times New Roman"/>
                    </w:rPr>
                  </w:pPr>
                </w:p>
              </w:tc>
              <w:tc>
                <w:tcPr>
                  <w:tcW w:w="1350" w:type="dxa"/>
                  <w:shd w:val="clear" w:color="auto" w:fill="auto"/>
                  <w:vAlign w:val="center"/>
                </w:tcPr>
                <w:p>
                  <w:pPr>
                    <w:shd w:val="clear" w:color="auto" w:fill="C7DAF1" w:themeFill="text2" w:themeFillTint="32"/>
                    <w:rPr>
                      <w:rFonts w:ascii="宋体" w:hAnsi="宋体" w:eastAsia="宋体" w:cs="Times New Roman"/>
                    </w:rPr>
                  </w:pPr>
                </w:p>
              </w:tc>
              <w:tc>
                <w:tcPr>
                  <w:tcW w:w="1774" w:type="dxa"/>
                  <w:shd w:val="clear" w:color="auto" w:fill="auto"/>
                  <w:vAlign w:val="top"/>
                </w:tcPr>
                <w:p>
                  <w:pPr>
                    <w:shd w:val="clear" w:color="auto" w:fill="C7DAF1" w:themeFill="text2" w:themeFillTint="32"/>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宋体" w:hAnsi="宋体" w:eastAsia="宋体" w:cs="Times New Roman"/>
                    </w:rPr>
                  </w:pPr>
                </w:p>
              </w:tc>
              <w:tc>
                <w:tcPr>
                  <w:tcW w:w="3136" w:type="dxa"/>
                  <w:shd w:val="clear" w:color="auto" w:fill="auto"/>
                  <w:vAlign w:val="top"/>
                </w:tcPr>
                <w:p>
                  <w:pPr>
                    <w:shd w:val="clear" w:color="auto" w:fill="C7DAF1" w:themeFill="text2" w:themeFillTint="32"/>
                    <w:rPr>
                      <w:rFonts w:ascii="宋体" w:hAnsi="宋体" w:eastAsia="宋体" w:cs="Times New Roman"/>
                    </w:rPr>
                  </w:pP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p>
              </w:tc>
              <w:tc>
                <w:tcPr>
                  <w:tcW w:w="1774" w:type="dxa"/>
                  <w:shd w:val="clear" w:color="auto" w:fill="auto"/>
                  <w:vAlign w:val="top"/>
                </w:tcPr>
                <w:p>
                  <w:pPr>
                    <w:shd w:val="clear" w:color="auto" w:fill="C7DAF1" w:themeFill="text2" w:themeFillTint="32"/>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宋体" w:hAnsi="宋体" w:eastAsia="宋体" w:cs="Times New Roman"/>
                    </w:rPr>
                  </w:pPr>
                </w:p>
              </w:tc>
              <w:tc>
                <w:tcPr>
                  <w:tcW w:w="3136" w:type="dxa"/>
                  <w:shd w:val="clear" w:color="auto" w:fill="auto"/>
                  <w:vAlign w:val="top"/>
                </w:tcPr>
                <w:p>
                  <w:pPr>
                    <w:shd w:val="clear" w:color="auto" w:fill="C7DAF1" w:themeFill="text2" w:themeFillTint="32"/>
                    <w:rPr>
                      <w:rFonts w:ascii="宋体" w:hAnsi="宋体" w:eastAsia="宋体" w:cs="Times New Roman"/>
                    </w:rPr>
                  </w:pPr>
                </w:p>
              </w:tc>
              <w:tc>
                <w:tcPr>
                  <w:tcW w:w="1350" w:type="dxa"/>
                  <w:shd w:val="clear" w:color="auto" w:fill="auto"/>
                  <w:vAlign w:val="center"/>
                </w:tcPr>
                <w:p>
                  <w:pPr>
                    <w:shd w:val="clear" w:color="auto" w:fill="C7DAF1" w:themeFill="text2" w:themeFillTint="32"/>
                    <w:rPr>
                      <w:rFonts w:ascii="宋体" w:hAnsi="宋体" w:eastAsia="宋体" w:cs="Times New Roman"/>
                    </w:rPr>
                  </w:pPr>
                </w:p>
              </w:tc>
              <w:tc>
                <w:tcPr>
                  <w:tcW w:w="1774" w:type="dxa"/>
                  <w:shd w:val="clear" w:color="auto" w:fill="auto"/>
                  <w:vAlign w:val="top"/>
                </w:tcPr>
                <w:p>
                  <w:pPr>
                    <w:shd w:val="clear" w:color="auto" w:fill="C7DAF1" w:themeFill="text2" w:themeFillTint="32"/>
                    <w:rPr>
                      <w:rFonts w:ascii="宋体" w:hAnsi="宋体" w:eastAsia="宋体" w:cs="Times New Roman"/>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1200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1</w:t>
            </w:r>
            <w:r>
              <w:rPr>
                <w:rFonts w:hint="eastAsia"/>
                <w:color w:val="auto"/>
              </w:rPr>
              <w:t>个；实验室个；</w:t>
            </w:r>
          </w:p>
          <w:p>
            <w:pPr>
              <w:shd w:val="clear" w:color="auto" w:fill="C7DAF1" w:themeFill="text2" w:themeFillTint="32"/>
              <w:rPr>
                <w:rFonts w:hint="default"/>
                <w:u w:val="single"/>
                <w:lang w:val="en-US"/>
              </w:rPr>
            </w:pPr>
            <w:r>
              <w:rPr>
                <w:rFonts w:hint="eastAsia"/>
              </w:rPr>
              <w:t>主要生产设备有：</w:t>
            </w:r>
            <w:r>
              <w:rPr>
                <w:rFonts w:hint="eastAsia"/>
                <w:u w:val="single"/>
                <w:lang w:val="en-US" w:eastAsia="zh-CN"/>
              </w:rPr>
              <w:t>车床、数控车床、钻铣机床、立式升降台铣床、万能升降台铣床、电炉、插床、台式钻床、台式砂轮机、大砂轮机、高速砂轮机、气动打标机、手动叉车、履带式抛丸清理机等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lang w:val="en-US" w:eastAsia="zh-CN"/>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电子称、红外测温仪、游标卡尺、外径千分尺等。</w:t>
            </w:r>
          </w:p>
          <w:p>
            <w:pPr>
              <w:shd w:val="clear" w:color="auto" w:fill="C7DAF1" w:themeFill="text2" w:themeFillTint="32"/>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宋体" w:hAnsi="宋体" w:eastAsia="宋体" w:cs="宋体"/>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机械加工</w:t>
                  </w:r>
                </w:p>
              </w:tc>
              <w:tc>
                <w:tcPr>
                  <w:tcW w:w="3665" w:type="dxa"/>
                </w:tcPr>
                <w:p>
                  <w:pPr>
                    <w:shd w:val="clear" w:color="auto" w:fill="C7DAF1" w:themeFill="text2" w:themeFillTint="32"/>
                    <w:jc w:val="left"/>
                  </w:pPr>
                  <w:r>
                    <w:rPr>
                      <w:rFonts w:hint="eastAsia"/>
                      <w:lang w:val="en-US" w:eastAsia="zh-CN"/>
                    </w:rPr>
                    <w:t>精加工</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铝件的铸造</w:t>
                  </w:r>
                </w:p>
              </w:tc>
              <w:tc>
                <w:tcPr>
                  <w:tcW w:w="3665" w:type="dxa"/>
                </w:tcPr>
                <w:p>
                  <w:pPr>
                    <w:shd w:val="clear" w:color="auto" w:fill="C7DAF1" w:themeFill="text2" w:themeFillTint="32"/>
                    <w:jc w:val="left"/>
                    <w:rPr>
                      <w:rFonts w:hint="default" w:eastAsia="宋体"/>
                      <w:lang w:val="en-US" w:eastAsia="zh-CN"/>
                    </w:rPr>
                  </w:pPr>
                  <w:r>
                    <w:rPr>
                      <w:rFonts w:hint="default" w:eastAsia="宋体"/>
                      <w:lang w:val="en-US" w:eastAsia="zh-CN"/>
                    </w:rPr>
                    <w:t>熔炼、浇铸</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熔炼、浇铸</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2C37EB1"/>
    <w:rsid w:val="0C5368DA"/>
    <w:rsid w:val="11884514"/>
    <w:rsid w:val="1E995D52"/>
    <w:rsid w:val="5DB259D1"/>
    <w:rsid w:val="7078785C"/>
    <w:rsid w:val="7E414946"/>
    <w:rsid w:val="7FC70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2022-07-03T12:54:11Z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