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9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主管领导：张召波 </w:t>
            </w:r>
            <w:r>
              <w:rPr>
                <w:sz w:val="24"/>
                <w:szCs w:val="24"/>
              </w:rPr>
              <w:t xml:space="preserve">  </w:t>
            </w:r>
            <w:r>
              <w:rPr>
                <w:rFonts w:hint="eastAsia"/>
                <w:sz w:val="24"/>
                <w:szCs w:val="24"/>
              </w:rPr>
              <w:t>陪同人员：</w:t>
            </w:r>
            <w:r>
              <w:rPr>
                <w:rFonts w:hint="eastAsia"/>
                <w:sz w:val="24"/>
                <w:szCs w:val="24"/>
                <w:lang w:val="en-US" w:eastAsia="zh-CN"/>
              </w:rPr>
              <w:t>陶书卷</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pStyle w:val="2"/>
              <w:rPr>
                <w:rFonts w:hint="default" w:ascii="Times New Roman" w:hAnsi="Times New Roman" w:eastAsia="宋体" w:cs="Times New Roman"/>
                <w:bCs/>
                <w:spacing w:val="10"/>
                <w:kern w:val="2"/>
                <w:sz w:val="21"/>
                <w:lang w:val="en-US" w:eastAsia="zh-CN" w:bidi="ar-SA"/>
              </w:rPr>
            </w:pPr>
            <w:r>
              <w:rPr>
                <w:rFonts w:hint="eastAsia"/>
                <w:sz w:val="21"/>
                <w:szCs w:val="21"/>
              </w:rPr>
              <w:t>审核员：</w:t>
            </w:r>
            <w:r>
              <w:rPr>
                <w:rFonts w:hint="eastAsia"/>
                <w:sz w:val="21"/>
                <w:szCs w:val="21"/>
                <w:lang w:val="en-US" w:eastAsia="zh-CN"/>
              </w:rPr>
              <w:t>肖新龙</w:t>
            </w:r>
            <w:r>
              <w:rPr>
                <w:rFonts w:hint="eastAsia"/>
                <w:b w:val="0"/>
                <w:bCs w:val="0"/>
                <w:sz w:val="18"/>
                <w:szCs w:val="18"/>
                <w:lang w:val="en-US" w:eastAsia="zh-CN"/>
              </w:rPr>
              <w:t>OH、任泽华：QEF</w:t>
            </w:r>
            <w:r>
              <w:rPr>
                <w:sz w:val="21"/>
                <w:szCs w:val="21"/>
              </w:rPr>
              <w:t xml:space="preserve">          </w:t>
            </w:r>
            <w:r>
              <w:rPr>
                <w:rFonts w:hint="eastAsia"/>
                <w:sz w:val="21"/>
                <w:szCs w:val="21"/>
              </w:rPr>
              <w:t>审核日期：</w:t>
            </w:r>
            <w:r>
              <w:rPr>
                <w:sz w:val="21"/>
                <w:szCs w:val="21"/>
              </w:rPr>
              <w:t>202</w:t>
            </w:r>
            <w:r>
              <w:rPr>
                <w:rFonts w:hint="eastAsia"/>
                <w:sz w:val="21"/>
                <w:szCs w:val="21"/>
                <w:lang w:val="en-US" w:eastAsia="zh-CN"/>
              </w:rPr>
              <w:t>2-08-04日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w:t>
            </w:r>
            <w:r>
              <w:rPr>
                <w:rFonts w:hint="eastAsia"/>
              </w:rPr>
              <w:t>9.3/</w:t>
            </w:r>
            <w:r>
              <w:rPr>
                <w:rFonts w:hint="eastAsia"/>
                <w:lang w:val="en-US" w:eastAsia="zh-CN"/>
              </w:rPr>
              <w:t>10.2/</w:t>
            </w:r>
            <w:r>
              <w:rPr>
                <w:rFonts w:hint="eastAsia"/>
              </w:rPr>
              <w:t>10.3</w:t>
            </w:r>
          </w:p>
          <w:p>
            <w:pPr>
              <w:pStyle w:val="2"/>
              <w:rPr>
                <w:rFonts w:hint="eastAsia"/>
              </w:rPr>
            </w:pPr>
            <w:r>
              <w:rPr>
                <w:rFonts w:hint="eastAsia"/>
              </w:rPr>
              <w:t>E:4.1/4.2/4.3/4.4/5.1/5.2/5.3/6.1/6.2/6.3/7.1/7.</w:t>
            </w:r>
            <w:r>
              <w:rPr>
                <w:rFonts w:hint="eastAsia"/>
                <w:lang w:val="en-US" w:eastAsia="zh-CN"/>
              </w:rPr>
              <w:t>4</w:t>
            </w:r>
            <w:r>
              <w:rPr>
                <w:rFonts w:hint="eastAsia"/>
              </w:rPr>
              <w:t>/</w:t>
            </w:r>
            <w:r>
              <w:rPr>
                <w:rFonts w:hint="eastAsia"/>
                <w:lang w:val="en-US" w:eastAsia="zh-CN"/>
              </w:rPr>
              <w:t>7.5.1/8.2/</w:t>
            </w:r>
            <w:r>
              <w:rPr>
                <w:rFonts w:hint="eastAsia"/>
              </w:rPr>
              <w:t>9.1.1/9.3/10.1/10.3</w:t>
            </w:r>
          </w:p>
          <w:p>
            <w:pPr>
              <w:pStyle w:val="2"/>
              <w:rPr>
                <w:rFonts w:hint="eastAsia"/>
              </w:rPr>
            </w:pPr>
            <w:r>
              <w:rPr>
                <w:rFonts w:hint="eastAsia"/>
              </w:rPr>
              <w:t>O:4.1/4.2/4.3/4.4/5.1/5.2/5.3/6.1/6.2/6.3/7.1/7.</w:t>
            </w:r>
            <w:r>
              <w:rPr>
                <w:rFonts w:hint="eastAsia"/>
                <w:lang w:val="en-US" w:eastAsia="zh-CN"/>
              </w:rPr>
              <w:t>4</w:t>
            </w:r>
            <w:r>
              <w:rPr>
                <w:rFonts w:hint="eastAsia"/>
              </w:rPr>
              <w:t>/</w:t>
            </w:r>
            <w:r>
              <w:rPr>
                <w:rFonts w:hint="eastAsia"/>
                <w:lang w:val="en-US" w:eastAsia="zh-CN"/>
              </w:rPr>
              <w:t>7.5.1/8.2/</w:t>
            </w:r>
            <w:r>
              <w:rPr>
                <w:rFonts w:hint="eastAsia"/>
              </w:rPr>
              <w:t xml:space="preserve">9.1.1/9.3/10.1/10.3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/5.4/5.5</w:t>
            </w:r>
          </w:p>
          <w:p>
            <w:pPr>
              <w:pStyle w:val="7"/>
              <w:rPr>
                <w:rFonts w:hint="eastAsia"/>
                <w:color w:val="0000FF"/>
                <w:sz w:val="21"/>
                <w:szCs w:val="21"/>
                <w:lang w:val="en-US" w:eastAsia="zh-CN"/>
              </w:rPr>
            </w:pPr>
            <w:r>
              <w:rPr>
                <w:rFonts w:hint="eastAsia"/>
                <w:color w:val="0000FF"/>
                <w:sz w:val="21"/>
                <w:szCs w:val="21"/>
                <w:lang w:val="en-US" w:eastAsia="zh-CN"/>
              </w:rPr>
              <w:t>证书恢复确认内容、初审不符合项验证、资质证书使用情况、重大投诉、食品安全事故等</w:t>
            </w:r>
          </w:p>
          <w:p>
            <w:pPr>
              <w:pStyle w:val="7"/>
              <w:rPr>
                <w:rFonts w:hint="default"/>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shd w:val="clear" w:color="auto" w:fill="auto"/>
            <w:vAlign w:val="center"/>
          </w:tcPr>
          <w:p>
            <w:pPr>
              <w:rPr>
                <w:rFonts w:hint="eastAsia"/>
                <w:lang w:val="en-US" w:eastAsia="zh-CN"/>
              </w:rPr>
            </w:pPr>
            <w:r>
              <w:rPr>
                <w:rFonts w:hint="eastAsia"/>
                <w:lang w:val="en-US" w:eastAsia="zh-CN"/>
              </w:rPr>
              <w:t>证书暂停恢复的各项要求</w:t>
            </w:r>
          </w:p>
          <w:p>
            <w:r>
              <w:rPr>
                <w:rFonts w:hint="eastAsia"/>
                <w:lang w:val="en-US" w:eastAsia="zh-CN"/>
              </w:rPr>
              <w:t>【肖新龙、任泽华】</w:t>
            </w:r>
          </w:p>
        </w:tc>
        <w:tc>
          <w:tcPr>
            <w:tcW w:w="1040" w:type="dxa"/>
            <w:shd w:val="clear" w:color="auto" w:fill="auto"/>
            <w:vAlign w:val="center"/>
          </w:tcPr>
          <w:p/>
        </w:tc>
        <w:tc>
          <w:tcPr>
            <w:tcW w:w="10005" w:type="dxa"/>
            <w:gridSpan w:val="3"/>
            <w:shd w:val="clear" w:color="auto" w:fill="auto"/>
            <w:vAlign w:val="center"/>
          </w:tcPr>
          <w:p>
            <w:pPr>
              <w:pStyle w:val="7"/>
              <w:spacing w:line="360" w:lineRule="auto"/>
              <w:rPr>
                <w:rFonts w:hint="default"/>
                <w:b/>
                <w:bCs/>
                <w:color w:val="0000FF"/>
                <w:lang w:val="en-US" w:eastAsia="zh-CN"/>
              </w:rPr>
            </w:pPr>
            <w:r>
              <w:rPr>
                <w:rFonts w:hint="default"/>
                <w:b/>
                <w:bCs/>
                <w:color w:val="0000FF"/>
                <w:lang w:val="en-US" w:eastAsia="zh-CN"/>
              </w:rPr>
              <w:t>证书恢复确认内容：</w:t>
            </w:r>
          </w:p>
          <w:p>
            <w:pPr>
              <w:pStyle w:val="7"/>
              <w:spacing w:line="360" w:lineRule="auto"/>
              <w:rPr>
                <w:rFonts w:hint="eastAsia"/>
                <w:color w:val="0000FF"/>
                <w:lang w:val="en-US" w:eastAsia="zh-CN"/>
              </w:rPr>
            </w:pPr>
            <w:r>
              <w:rPr>
                <w:rFonts w:hint="eastAsia"/>
                <w:color w:val="0000FF"/>
                <w:lang w:val="en-US" w:eastAsia="zh-CN"/>
              </w:rPr>
              <w:t>与企业负责人及代表确认：</w:t>
            </w:r>
          </w:p>
          <w:p>
            <w:pPr>
              <w:pStyle w:val="7"/>
              <w:numPr>
                <w:ilvl w:val="0"/>
                <w:numId w:val="2"/>
              </w:numPr>
              <w:spacing w:line="360" w:lineRule="auto"/>
              <w:rPr>
                <w:rFonts w:hint="eastAsia"/>
                <w:color w:val="0000FF"/>
                <w:lang w:val="en-US" w:eastAsia="zh-CN"/>
              </w:rPr>
            </w:pPr>
            <w:r>
              <w:rPr>
                <w:rFonts w:hint="default"/>
                <w:color w:val="0000FF"/>
                <w:lang w:val="en-US" w:eastAsia="zh-CN"/>
              </w:rPr>
              <w:t>企业</w:t>
            </w:r>
            <w:r>
              <w:rPr>
                <w:rFonts w:hint="eastAsia"/>
                <w:color w:val="0000FF"/>
                <w:lang w:val="en-US" w:eastAsia="zh-CN"/>
              </w:rPr>
              <w:t>具备</w:t>
            </w:r>
            <w:r>
              <w:rPr>
                <w:rFonts w:hint="default"/>
                <w:color w:val="0000FF"/>
                <w:lang w:val="en-US" w:eastAsia="zh-CN"/>
              </w:rPr>
              <w:t>执行相关法律法规及其他要求的能力</w:t>
            </w:r>
            <w:r>
              <w:rPr>
                <w:rFonts w:hint="eastAsia"/>
                <w:color w:val="0000FF"/>
                <w:lang w:val="en-US" w:eastAsia="zh-CN"/>
              </w:rPr>
              <w:t>；2）证书暂停期间监管部门未</w:t>
            </w:r>
            <w:r>
              <w:rPr>
                <w:rFonts w:hint="default"/>
                <w:color w:val="0000FF"/>
                <w:lang w:val="en-US" w:eastAsia="zh-CN"/>
              </w:rPr>
              <w:t>对企业质量、环境、安全监督抽查情况</w:t>
            </w:r>
            <w:r>
              <w:rPr>
                <w:rFonts w:hint="eastAsia"/>
                <w:color w:val="0000FF"/>
                <w:lang w:val="en-US" w:eastAsia="zh-CN"/>
              </w:rPr>
              <w:t>，无不符合情况；3）暂停期间未发生</w:t>
            </w:r>
            <w:r>
              <w:rPr>
                <w:rFonts w:hint="default"/>
                <w:color w:val="0000FF"/>
                <w:lang w:val="en-US" w:eastAsia="zh-CN"/>
              </w:rPr>
              <w:t>重大质量环境安全事故、</w:t>
            </w:r>
            <w:r>
              <w:rPr>
                <w:rFonts w:hint="eastAsia"/>
                <w:color w:val="0000FF"/>
                <w:lang w:val="en-US" w:eastAsia="zh-CN"/>
              </w:rPr>
              <w:t>未发生</w:t>
            </w:r>
            <w:r>
              <w:rPr>
                <w:rFonts w:hint="default"/>
                <w:color w:val="0000FF"/>
                <w:lang w:val="en-US" w:eastAsia="zh-CN"/>
              </w:rPr>
              <w:t>主管部门处罚、通报情况</w:t>
            </w:r>
            <w:r>
              <w:rPr>
                <w:rFonts w:hint="eastAsia"/>
                <w:color w:val="0000FF"/>
                <w:lang w:val="en-US" w:eastAsia="zh-CN"/>
              </w:rPr>
              <w:t>；4）</w:t>
            </w:r>
            <w:r>
              <w:rPr>
                <w:rFonts w:hint="default"/>
                <w:color w:val="0000FF"/>
                <w:lang w:val="en-US" w:eastAsia="zh-CN"/>
              </w:rPr>
              <w:t>体系运行</w:t>
            </w:r>
            <w:r>
              <w:rPr>
                <w:rFonts w:hint="eastAsia"/>
                <w:color w:val="0000FF"/>
                <w:lang w:val="en-US" w:eastAsia="zh-CN"/>
              </w:rPr>
              <w:t>基本正常；5）</w:t>
            </w:r>
            <w:r>
              <w:rPr>
                <w:rFonts w:hint="default"/>
                <w:color w:val="0000FF"/>
                <w:lang w:val="en-US" w:eastAsia="zh-CN"/>
              </w:rPr>
              <w:t>组织</w:t>
            </w:r>
            <w:r>
              <w:rPr>
                <w:rFonts w:hint="eastAsia"/>
                <w:color w:val="0000FF"/>
                <w:lang w:val="en-US" w:eastAsia="zh-CN"/>
              </w:rPr>
              <w:t>经营场所发生变化、各部门主要负责人发生变化；6）</w:t>
            </w:r>
            <w:r>
              <w:rPr>
                <w:rFonts w:hint="default"/>
                <w:color w:val="0000FF"/>
                <w:lang w:val="en-US" w:eastAsia="zh-CN"/>
              </w:rPr>
              <w:t>暂停期间</w:t>
            </w:r>
            <w:r>
              <w:rPr>
                <w:rFonts w:hint="eastAsia"/>
                <w:color w:val="0000FF"/>
                <w:lang w:val="en-US" w:eastAsia="zh-CN"/>
              </w:rPr>
              <w:t>组织标示未使用</w:t>
            </w:r>
            <w:r>
              <w:rPr>
                <w:rFonts w:hint="default"/>
                <w:color w:val="0000FF"/>
                <w:lang w:val="en-US" w:eastAsia="zh-CN"/>
              </w:rPr>
              <w:t>证书</w:t>
            </w:r>
            <w:r>
              <w:rPr>
                <w:rFonts w:hint="eastAsia"/>
                <w:color w:val="0000FF"/>
                <w:lang w:val="en-US" w:eastAsia="zh-CN"/>
              </w:rPr>
              <w:t>，也未发生</w:t>
            </w:r>
            <w:r>
              <w:rPr>
                <w:rFonts w:hint="default"/>
                <w:color w:val="0000FF"/>
                <w:lang w:val="en-US" w:eastAsia="zh-CN"/>
              </w:rPr>
              <w:t>重大服务投诉情况等</w:t>
            </w:r>
            <w:r>
              <w:rPr>
                <w:rFonts w:hint="eastAsia"/>
                <w:color w:val="0000FF"/>
                <w:lang w:val="en-US" w:eastAsia="zh-CN"/>
              </w:rPr>
              <w:t>。</w:t>
            </w:r>
          </w:p>
          <w:p>
            <w:pPr>
              <w:pStyle w:val="7"/>
              <w:numPr>
                <w:ilvl w:val="0"/>
                <w:numId w:val="2"/>
              </w:numPr>
              <w:spacing w:line="360" w:lineRule="auto"/>
              <w:rPr>
                <w:rFonts w:hint="default"/>
                <w:lang w:val="en-US" w:eastAsia="zh-CN"/>
              </w:rPr>
            </w:pPr>
            <w:r>
              <w:rPr>
                <w:rFonts w:hint="eastAsia"/>
                <w:color w:val="0000FF"/>
                <w:lang w:val="en-US" w:eastAsia="zh-CN"/>
              </w:rPr>
              <w:t>监督暂停期间证书使用及管理基本规范，</w:t>
            </w:r>
            <w:r>
              <w:rPr>
                <w:rFonts w:hint="eastAsia"/>
                <w:color w:val="0000FF"/>
                <w:u w:val="single"/>
                <w:lang w:val="en-US" w:eastAsia="zh-CN"/>
              </w:rPr>
              <w:t>具体见《暂停恢复确认表》</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shd w:val="clear" w:color="auto" w:fill="auto"/>
            <w:vAlign w:val="center"/>
          </w:tcPr>
          <w:p>
            <w:pPr>
              <w:rPr>
                <w:rFonts w:hint="default"/>
                <w:lang w:val="en-US" w:eastAsia="zh-CN"/>
              </w:rPr>
            </w:pPr>
            <w:r>
              <w:rPr>
                <w:rFonts w:hint="eastAsia"/>
                <w:lang w:val="en-US" w:eastAsia="zh-CN"/>
              </w:rPr>
              <w:t>监督审核确认</w:t>
            </w:r>
          </w:p>
        </w:tc>
        <w:tc>
          <w:tcPr>
            <w:tcW w:w="1040" w:type="dxa"/>
            <w:shd w:val="clear" w:color="auto" w:fill="auto"/>
            <w:vAlign w:val="center"/>
          </w:tcPr>
          <w:p/>
        </w:tc>
        <w:tc>
          <w:tcPr>
            <w:tcW w:w="10005" w:type="dxa"/>
            <w:gridSpan w:val="3"/>
            <w:shd w:val="clear" w:color="auto" w:fill="auto"/>
            <w:vAlign w:val="center"/>
          </w:tcPr>
          <w:p>
            <w:pPr>
              <w:pStyle w:val="7"/>
              <w:spacing w:line="360" w:lineRule="auto"/>
              <w:rPr>
                <w:rFonts w:hint="eastAsia"/>
                <w:b/>
                <w:bCs/>
                <w:lang w:val="en-US" w:eastAsia="zh-CN"/>
              </w:rPr>
            </w:pPr>
            <w:r>
              <w:rPr>
                <w:rFonts w:hint="eastAsia"/>
                <w:b/>
                <w:bCs/>
                <w:lang w:val="en-US" w:eastAsia="zh-CN"/>
              </w:rPr>
              <w:t>1）认证范围：</w:t>
            </w:r>
          </w:p>
          <w:p>
            <w:pPr>
              <w:pStyle w:val="7"/>
              <w:spacing w:line="360" w:lineRule="auto"/>
              <w:ind w:firstLine="180" w:firstLineChars="100"/>
              <w:rPr>
                <w:rFonts w:hint="eastAsia"/>
                <w:color w:val="0000FF"/>
                <w:lang w:val="en-US" w:eastAsia="zh-CN"/>
              </w:rPr>
            </w:pPr>
            <w:r>
              <w:rPr>
                <w:rFonts w:hint="eastAsia"/>
                <w:color w:val="0000FF"/>
                <w:lang w:val="en-US" w:eastAsia="zh-CN"/>
              </w:rPr>
              <w:t>FH范围发生变更，见变更单；</w:t>
            </w:r>
          </w:p>
          <w:p>
            <w:pPr>
              <w:pStyle w:val="7"/>
              <w:spacing w:line="360" w:lineRule="auto"/>
              <w:rPr>
                <w:rFonts w:hint="eastAsia"/>
                <w:b/>
                <w:bCs/>
                <w:lang w:val="en-US" w:eastAsia="zh-CN"/>
              </w:rPr>
            </w:pPr>
            <w:r>
              <w:rPr>
                <w:rFonts w:hint="eastAsia"/>
                <w:b/>
                <w:bCs/>
                <w:lang w:val="en-US" w:eastAsia="zh-CN"/>
              </w:rPr>
              <w:t>2）资质证书：</w:t>
            </w:r>
          </w:p>
          <w:p>
            <w:pPr>
              <w:pStyle w:val="7"/>
              <w:spacing w:line="360" w:lineRule="auto"/>
              <w:ind w:firstLine="180" w:firstLineChars="100"/>
              <w:rPr>
                <w:rFonts w:hint="eastAsia"/>
                <w:lang w:val="en-US" w:eastAsia="zh-CN"/>
              </w:rPr>
            </w:pPr>
            <w:r>
              <w:rPr>
                <w:rFonts w:hint="eastAsia"/>
                <w:color w:val="0000FF"/>
                <w:lang w:val="en-US" w:eastAsia="zh-CN"/>
              </w:rPr>
              <w:t>经营地址发生变化，承包山东力明技工学校食堂，已收集食品经营许可证，见E文件包；</w:t>
            </w:r>
          </w:p>
          <w:p>
            <w:pPr>
              <w:pStyle w:val="7"/>
              <w:spacing w:line="360" w:lineRule="auto"/>
              <w:rPr>
                <w:rFonts w:hint="eastAsia"/>
                <w:b/>
                <w:bCs/>
                <w:lang w:val="en-US" w:eastAsia="zh-CN"/>
              </w:rPr>
            </w:pPr>
            <w:r>
              <w:rPr>
                <w:rFonts w:hint="eastAsia"/>
                <w:b/>
                <w:bCs/>
                <w:lang w:val="en-US" w:eastAsia="zh-CN"/>
              </w:rPr>
              <w:t>3）初审不符合项验证</w:t>
            </w:r>
          </w:p>
          <w:p>
            <w:pPr>
              <w:pStyle w:val="7"/>
              <w:spacing w:line="360" w:lineRule="auto"/>
              <w:ind w:firstLine="180" w:firstLineChars="100"/>
              <w:rPr>
                <w:rFonts w:hint="default"/>
                <w:color w:val="0000FF"/>
                <w:highlight w:val="none"/>
                <w:lang w:val="en-US" w:eastAsia="zh-CN"/>
              </w:rPr>
            </w:pPr>
            <w:r>
              <w:rPr>
                <w:rFonts w:hint="eastAsia"/>
                <w:color w:val="0000FF"/>
                <w:highlight w:val="none"/>
                <w:lang w:val="en-US" w:eastAsia="zh-CN"/>
              </w:rPr>
              <w:t>初审开具不符合项：4项，经验证已关闭；本次审核中心温度计、电子秤未提供校验报告，已开具不符合项整改。</w:t>
            </w:r>
          </w:p>
          <w:p>
            <w:pPr>
              <w:pStyle w:val="7"/>
              <w:numPr>
                <w:ilvl w:val="0"/>
                <w:numId w:val="0"/>
              </w:numPr>
              <w:spacing w:line="360" w:lineRule="auto"/>
              <w:ind w:leftChars="0"/>
              <w:rPr>
                <w:rFonts w:hint="eastAsia"/>
                <w:color w:val="auto"/>
                <w:lang w:val="en-US" w:eastAsia="zh-CN"/>
              </w:rPr>
            </w:pPr>
            <w:r>
              <w:rPr>
                <w:rFonts w:hint="eastAsia"/>
                <w:lang w:val="en-US" w:eastAsia="zh-CN"/>
              </w:rPr>
              <w:t>4）组织人数发生变化，</w:t>
            </w:r>
            <w:r>
              <w:rPr>
                <w:rFonts w:hint="eastAsia"/>
                <w:color w:val="auto"/>
                <w:lang w:val="en-US" w:eastAsia="zh-CN"/>
              </w:rPr>
              <w:t>由原体系覆盖人数14人，变更为43人；</w:t>
            </w:r>
          </w:p>
          <w:p>
            <w:pPr>
              <w:pStyle w:val="7"/>
              <w:numPr>
                <w:ilvl w:val="0"/>
                <w:numId w:val="0"/>
              </w:numPr>
              <w:spacing w:line="360" w:lineRule="auto"/>
              <w:ind w:leftChars="0"/>
              <w:rPr>
                <w:rFonts w:hint="default"/>
                <w:color w:val="auto"/>
                <w:lang w:val="en-US" w:eastAsia="zh-CN"/>
              </w:rPr>
            </w:pPr>
            <w:r>
              <w:rPr>
                <w:rFonts w:hint="eastAsia"/>
                <w:color w:val="auto"/>
                <w:lang w:val="en-US" w:eastAsia="zh-CN"/>
              </w:rPr>
              <w:t>5）资质证书使用情况：询问证书只用于投标，未做他用，未发生处罚等情况</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highlight w:val="none"/>
              </w:rPr>
              <w:t>如：</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FE"/>
            </w:r>
            <w:r>
              <w:rPr>
                <w:rFonts w:hint="eastAsia"/>
                <w:highlight w:val="none"/>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市场竞争较为激烈、客户要求越来越严格；</w:t>
                  </w:r>
                </w:p>
                <w:p>
                  <w:pPr>
                    <w:rPr>
                      <w:rFonts w:hint="default"/>
                      <w:lang w:val="en-US" w:eastAsia="zh-CN"/>
                    </w:rPr>
                  </w:pPr>
                  <w:r>
                    <w:rPr>
                      <w:rFonts w:hint="eastAsia" w:ascii="Times New Roman" w:hAnsi="Times New Roman" w:eastAsia="宋体" w:cs="Times New Roman"/>
                      <w:color w:val="0000FF"/>
                      <w:kern w:val="2"/>
                      <w:sz w:val="21"/>
                      <w:szCs w:val="21"/>
                      <w:lang w:val="en-US" w:eastAsia="zh-CN" w:bidi="ar-SA"/>
                    </w:rPr>
                    <w:t>疫情影响较大</w:t>
                  </w:r>
                  <w:r>
                    <w:rPr>
                      <w:rFonts w:hint="eastAsia" w:cs="Times New Roman"/>
                      <w:color w:val="0000FF"/>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51" w:type="dxa"/>
                </w:tcPr>
                <w:p>
                  <w:r>
                    <w:rPr>
                      <w:rFonts w:hint="eastAsia"/>
                    </w:rPr>
                    <w:t>列举主要的内容</w:t>
                  </w:r>
                </w:p>
              </w:tc>
              <w:tc>
                <w:tcPr>
                  <w:tcW w:w="7230" w:type="dxa"/>
                </w:tcPr>
                <w:p>
                  <w:pP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设备安全、人员安全、食品安全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51" w:type="dxa"/>
                </w:tcPr>
                <w:p>
                  <w:r>
                    <w:rPr>
                      <w:rFonts w:hint="eastAsia"/>
                      <w:color w:val="000000"/>
                      <w:szCs w:val="21"/>
                    </w:rPr>
                    <w:t>组织优势说明</w:t>
                  </w:r>
                </w:p>
              </w:tc>
              <w:tc>
                <w:tcPr>
                  <w:tcW w:w="7230" w:type="dxa"/>
                </w:tcPr>
                <w:p>
                  <w:pP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餐饮经营多年；</w:t>
                  </w:r>
                </w:p>
                <w:p>
                  <w:pP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资源配备基本充足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spacing w:line="360" w:lineRule="auto"/>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行业影响，利润较低；</w:t>
                  </w:r>
                </w:p>
                <w:p>
                  <w:pPr>
                    <w:pStyle w:val="7"/>
                    <w:spacing w:line="360" w:lineRule="auto"/>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人员整体年龄偏高，对体系的意识需要加强提高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现场卫生管理不当，导致监管部门抽查不合格处罚；</w:t>
                  </w:r>
                </w:p>
                <w:p>
                  <w:pP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食品安全事故、食物中毒、厨余垃圾清理不当等风险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1" w:type="dxa"/>
                </w:tcPr>
                <w:p>
                  <w:pPr>
                    <w:rPr>
                      <w:highlight w:val="yellow"/>
                    </w:rPr>
                  </w:pPr>
                  <w:r>
                    <w:rPr>
                      <w:rFonts w:hint="eastAsia"/>
                      <w:color w:val="000000"/>
                      <w:szCs w:val="21"/>
                      <w:highlight w:val="none"/>
                    </w:rPr>
                    <w:t>机遇的说明</w:t>
                  </w:r>
                </w:p>
              </w:tc>
              <w:tc>
                <w:tcPr>
                  <w:tcW w:w="7230" w:type="dxa"/>
                </w:tcPr>
                <w:p>
                  <w:pPr>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kern w:val="2"/>
                      <w:sz w:val="21"/>
                      <w:szCs w:val="21"/>
                      <w:lang w:val="en-US" w:eastAsia="zh-CN" w:bidi="ar-SA"/>
                    </w:rPr>
                    <w:t>1）通过体系的持续实施，不断体系管理能力；2）公司整体资源配置基本齐全，核心人员经营多面餐饮经验，为新投标新项目提供基础；</w:t>
                  </w:r>
                </w:p>
              </w:tc>
            </w:tr>
          </w:tbl>
          <w:p>
            <w:pPr>
              <w:rPr>
                <w:color w:val="000000"/>
                <w:szCs w:val="21"/>
              </w:rPr>
            </w:pPr>
          </w:p>
          <w:p>
            <w:pPr>
              <w:rPr>
                <w:rFonts w:hint="eastAsia" w:eastAsia="宋体"/>
                <w:color w:val="000000"/>
                <w:szCs w:val="21"/>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rPr>
              <w:t>组织内外部环境要素识别表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r>
              <w:rPr>
                <w:rFonts w:hint="eastAsia"/>
                <w:highlight w:val="none"/>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rPr>
              <w:t xml:space="preserve">Q4.2 </w:t>
            </w:r>
          </w:p>
          <w:p>
            <w:pPr>
              <w:rPr>
                <w:rFonts w:hint="eastAsia"/>
              </w:rPr>
            </w:pPr>
            <w:r>
              <w:rPr>
                <w:rFonts w:hint="eastAsia"/>
              </w:rPr>
              <w:t>F4.2</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济南市市中区市场监督管理局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1"/>
                    <w:ind w:left="0" w:leftChars="0" w:firstLine="0" w:firstLineChars="0"/>
                    <w:rPr>
                      <w:rFonts w:hint="default"/>
                      <w:highlight w:val="none"/>
                      <w:lang w:val="en-US" w:eastAsia="zh-CN"/>
                    </w:rPr>
                  </w:pPr>
                  <w:r>
                    <w:rPr>
                      <w:rFonts w:hint="eastAsia" w:ascii="宋体" w:hAnsi="宋体" w:cs="宋体"/>
                      <w:bCs/>
                      <w:color w:val="000000"/>
                      <w:kern w:val="0"/>
                      <w:sz w:val="20"/>
                      <w:highlight w:val="none"/>
                      <w:lang w:val="en-US" w:eastAsia="zh-CN"/>
                    </w:rPr>
                    <w:t>山东裕悦供应链有限公司</w:t>
                  </w:r>
                  <w:r>
                    <w:rPr>
                      <w:rFonts w:hint="eastAsia" w:cs="宋体"/>
                      <w:bCs/>
                      <w:color w:val="000000"/>
                      <w:kern w:val="0"/>
                      <w:sz w:val="20"/>
                      <w:highlight w:val="none"/>
                      <w:lang w:val="en-US" w:eastAsia="zh-CN"/>
                    </w:rPr>
                    <w:t>、</w:t>
                  </w:r>
                  <w:r>
                    <w:rPr>
                      <w:rFonts w:hint="eastAsia" w:ascii="宋体" w:hAnsi="宋体" w:cs="宋体"/>
                      <w:bCs/>
                      <w:color w:val="000000"/>
                      <w:kern w:val="0"/>
                      <w:sz w:val="20"/>
                      <w:highlight w:val="none"/>
                      <w:lang w:val="en-US" w:eastAsia="zh-CN"/>
                    </w:rPr>
                    <w:t>市中区驷玖食品经营部（个体）</w:t>
                  </w:r>
                  <w:r>
                    <w:rPr>
                      <w:rFonts w:hint="eastAsia" w:cs="宋体"/>
                      <w:bCs/>
                      <w:color w:val="000000"/>
                      <w:kern w:val="0"/>
                      <w:sz w:val="20"/>
                      <w:highlight w:val="none"/>
                      <w:lang w:val="en-US" w:eastAsia="zh-CN"/>
                    </w:rPr>
                    <w:t>、</w:t>
                  </w:r>
                  <w:r>
                    <w:rPr>
                      <w:rFonts w:hint="eastAsia"/>
                      <w:highlight w:val="none"/>
                      <w:lang w:val="en-US" w:eastAsia="zh-CN"/>
                    </w:rPr>
                    <w:t>长清区鑫垣锦城酒店用品商行[个体工商户]等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1"/>
                    <w:ind w:left="0" w:leftChars="0" w:firstLine="0" w:firstLineChars="0"/>
                    <w:rPr>
                      <w:rFonts w:hint="default"/>
                      <w:highlight w:val="none"/>
                      <w:lang w:val="en-US" w:eastAsia="zh-CN"/>
                    </w:rPr>
                  </w:pPr>
                  <w:r>
                    <w:rPr>
                      <w:rFonts w:hint="eastAsia"/>
                      <w:highlight w:val="none"/>
                      <w:lang w:val="en-US" w:eastAsia="zh-CN"/>
                    </w:rPr>
                    <w:t>山东力明技工学校食堂</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山东力明技工学校学生</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lang w:val="en-US" w:eastAsia="zh-CN"/>
                    </w:rPr>
                    <w:t>自然人</w:t>
                  </w:r>
                  <w:r>
                    <w:rPr>
                      <w:rFonts w:hint="eastAsia"/>
                    </w:rPr>
                    <w:t xml:space="preserve">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701" w:type="dxa"/>
                </w:tcPr>
                <w:p>
                  <w:pPr>
                    <w:rPr>
                      <w:rFonts w:hint="default" w:eastAsia="宋体"/>
                      <w:highlight w:val="none"/>
                      <w:lang w:val="en-US" w:eastAsia="zh-CN"/>
                    </w:rPr>
                  </w:pPr>
                  <w:r>
                    <w:rPr>
                      <w:rFonts w:hint="eastAsia"/>
                      <w:highlight w:val="none"/>
                      <w:lang w:val="en-US" w:eastAsia="zh-CN"/>
                    </w:rPr>
                    <w:t>周边为党家街道</w:t>
                  </w:r>
                </w:p>
              </w:tc>
              <w:tc>
                <w:tcPr>
                  <w:tcW w:w="4729" w:type="dxa"/>
                </w:tcPr>
                <w:p>
                  <w:pPr>
                    <w:rPr>
                      <w:highlight w:val="none"/>
                    </w:rPr>
                  </w:pPr>
                  <w:r>
                    <w:rPr>
                      <w:rFonts w:hint="eastAsia"/>
                      <w:highlight w:val="none"/>
                    </w:rPr>
                    <w:sym w:font="Wingdings 2" w:char="0052"/>
                  </w:r>
                  <w:r>
                    <w:rPr>
                      <w:rFonts w:hint="eastAsia"/>
                      <w:highlight w:val="none"/>
                    </w:rPr>
                    <w:t>不因食品安全问题影响周围人员的就业</w:t>
                  </w:r>
                </w:p>
                <w:p>
                  <w:pP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119"/>
              <w:gridCol w:w="398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11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11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济南市市中生态环境局</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11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宋体" w:hAnsi="宋体" w:cs="宋体"/>
                      <w:bCs/>
                      <w:color w:val="000000"/>
                      <w:kern w:val="0"/>
                      <w:sz w:val="20"/>
                      <w:highlight w:val="none"/>
                      <w:lang w:val="en-US" w:eastAsia="zh-CN"/>
                    </w:rPr>
                    <w:t>山东裕悦供应链有限公司</w:t>
                  </w:r>
                  <w:r>
                    <w:rPr>
                      <w:rFonts w:hint="eastAsia" w:cs="宋体"/>
                      <w:bCs/>
                      <w:color w:val="000000"/>
                      <w:kern w:val="0"/>
                      <w:sz w:val="20"/>
                      <w:highlight w:val="none"/>
                      <w:lang w:val="en-US" w:eastAsia="zh-CN"/>
                    </w:rPr>
                    <w:t>、</w:t>
                  </w:r>
                  <w:r>
                    <w:rPr>
                      <w:rFonts w:hint="eastAsia" w:ascii="宋体" w:hAnsi="宋体" w:cs="宋体"/>
                      <w:bCs/>
                      <w:color w:val="000000"/>
                      <w:kern w:val="0"/>
                      <w:sz w:val="20"/>
                      <w:highlight w:val="none"/>
                      <w:lang w:val="en-US" w:eastAsia="zh-CN"/>
                    </w:rPr>
                    <w:t>市中区驷玖食品经营部（个体）</w:t>
                  </w:r>
                  <w:r>
                    <w:rPr>
                      <w:rFonts w:hint="eastAsia" w:cs="宋体"/>
                      <w:bCs/>
                      <w:color w:val="000000"/>
                      <w:kern w:val="0"/>
                      <w:sz w:val="20"/>
                      <w:highlight w:val="none"/>
                      <w:lang w:val="en-US" w:eastAsia="zh-CN"/>
                    </w:rPr>
                    <w:t>、</w:t>
                  </w:r>
                  <w:r>
                    <w:rPr>
                      <w:rFonts w:hint="eastAsia"/>
                      <w:highlight w:val="none"/>
                      <w:lang w:val="en-US" w:eastAsia="zh-CN"/>
                    </w:rPr>
                    <w:t>长清区鑫垣锦城酒店用品商行[个体工商户]等</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11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山东力明技工学校食堂</w:t>
                  </w:r>
                </w:p>
              </w:tc>
              <w:tc>
                <w:tcPr>
                  <w:tcW w:w="398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11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山东力明技工学校学生</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11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11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自然人</w:t>
                  </w:r>
                  <w:r>
                    <w:rPr>
                      <w:rFonts w:hint="eastAsia"/>
                    </w:rPr>
                    <w:t xml:space="preserve"> </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11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周边为党家街道</w:t>
                  </w:r>
                </w:p>
              </w:tc>
              <w:tc>
                <w:tcPr>
                  <w:tcW w:w="398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highlight w:val="none"/>
                      <w:lang w:val="en-US" w:eastAsia="zh-CN"/>
                    </w:rPr>
                    <w:sym w:font="Wingdings" w:char="00FE"/>
                  </w:r>
                  <w:r>
                    <w:rPr>
                      <w:rFonts w:hint="eastAsia"/>
                      <w:color w:val="1D41D5"/>
                      <w:highlight w:val="none"/>
                      <w:lang w:val="en-US" w:eastAsia="zh-CN"/>
                    </w:rPr>
                    <w:t xml:space="preserve">是  </w:t>
                  </w:r>
                  <w:r>
                    <w:rPr>
                      <w:rFonts w:hint="eastAsia"/>
                      <w:color w:val="1D41D5"/>
                      <w:highlight w:val="none"/>
                      <w:lang w:val="en-US" w:eastAsia="zh-CN"/>
                    </w:rPr>
                    <w:sym w:font="Wingdings" w:char="00A8"/>
                  </w:r>
                  <w:r>
                    <w:rPr>
                      <w:rFonts w:hint="eastAsia"/>
                      <w:color w:val="1D41D5"/>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119"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98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如：济南市应急管理局，济南市市中区公安消防大队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宋体" w:hAnsi="宋体" w:cs="宋体"/>
                      <w:bCs/>
                      <w:color w:val="000000"/>
                      <w:kern w:val="0"/>
                      <w:sz w:val="20"/>
                      <w:highlight w:val="none"/>
                      <w:lang w:val="en-US" w:eastAsia="zh-CN"/>
                    </w:rPr>
                    <w:t>山东裕悦供应链有限公司</w:t>
                  </w:r>
                  <w:r>
                    <w:rPr>
                      <w:rFonts w:hint="eastAsia" w:cs="宋体"/>
                      <w:bCs/>
                      <w:color w:val="000000"/>
                      <w:kern w:val="0"/>
                      <w:sz w:val="20"/>
                      <w:highlight w:val="none"/>
                      <w:lang w:val="en-US" w:eastAsia="zh-CN"/>
                    </w:rPr>
                    <w:t>、</w:t>
                  </w:r>
                  <w:r>
                    <w:rPr>
                      <w:rFonts w:hint="eastAsia" w:ascii="宋体" w:hAnsi="宋体" w:cs="宋体"/>
                      <w:bCs/>
                      <w:color w:val="000000"/>
                      <w:kern w:val="0"/>
                      <w:sz w:val="20"/>
                      <w:highlight w:val="none"/>
                      <w:lang w:val="en-US" w:eastAsia="zh-CN"/>
                    </w:rPr>
                    <w:t>市中区驷玖食品经营部（个体）</w:t>
                  </w:r>
                  <w:r>
                    <w:rPr>
                      <w:rFonts w:hint="eastAsia" w:cs="宋体"/>
                      <w:bCs/>
                      <w:color w:val="000000"/>
                      <w:kern w:val="0"/>
                      <w:sz w:val="20"/>
                      <w:highlight w:val="none"/>
                      <w:lang w:val="en-US" w:eastAsia="zh-CN"/>
                    </w:rPr>
                    <w:t>、</w:t>
                  </w:r>
                  <w:r>
                    <w:rPr>
                      <w:rFonts w:hint="eastAsia"/>
                      <w:highlight w:val="none"/>
                      <w:lang w:val="en-US" w:eastAsia="zh-CN"/>
                    </w:rPr>
                    <w:t>长清区鑫垣锦城酒店用品商行[个体工商户]等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11"/>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山东力明技工学校食堂</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highlight w:val="none"/>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lang w:val="en-US" w:eastAsia="zh-CN"/>
                    </w:rPr>
                    <w:t>个人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rPr>
                      <w:rFonts w:hint="eastAsia" w:ascii="Times New Roman" w:hAnsi="Times New Roman" w:eastAsia="宋体" w:cs="Times New Roman"/>
                      <w:kern w:val="2"/>
                      <w:sz w:val="21"/>
                      <w:highlight w:val="yellow"/>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w:t>
            </w:r>
            <w:r>
              <w:rPr>
                <w:rFonts w:hint="eastAsia" w:ascii="宋体" w:hAnsi="宋体"/>
                <w:lang w:val="en-US" w:eastAsia="zh-CN"/>
              </w:rPr>
              <w:t>期望要求识别表</w:t>
            </w:r>
            <w:r>
              <w:rPr>
                <w:rFonts w:hint="eastAsia" w:ascii="宋体" w:hAnsi="宋体"/>
              </w:rPr>
              <w:t>》</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确定质量/食品安全管理体系的范围</w:t>
            </w:r>
          </w:p>
        </w:tc>
        <w:tc>
          <w:tcPr>
            <w:tcW w:w="1040" w:type="dxa"/>
            <w:vMerge w:val="restart"/>
            <w:shd w:val="clear" w:color="auto" w:fill="auto"/>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7"/>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sz w:val="20"/>
                    </w:rPr>
                  </w:pPr>
                  <w:bookmarkStart w:id="1" w:name="审核范围"/>
                  <w:r>
                    <w:rPr>
                      <w:sz w:val="20"/>
                    </w:rPr>
                    <w:t>Q：餐饮管理服务（热食类食品制售）</w:t>
                  </w:r>
                </w:p>
                <w:p>
                  <w:pPr>
                    <w:rPr>
                      <w:sz w:val="20"/>
                    </w:rPr>
                  </w:pPr>
                  <w:r>
                    <w:rPr>
                      <w:sz w:val="20"/>
                    </w:rPr>
                    <w:t>E：餐饮管理服务（热食类食品制售）所涉及场所的相关环境管理活动</w:t>
                  </w:r>
                </w:p>
                <w:p>
                  <w:pPr>
                    <w:rPr>
                      <w:sz w:val="20"/>
                    </w:rPr>
                  </w:pPr>
                  <w:r>
                    <w:rPr>
                      <w:sz w:val="20"/>
                    </w:rPr>
                    <w:t>O：餐饮管理服务（热食类食品制售）所涉及场所的相关职业健康安全管理活动</w:t>
                  </w:r>
                </w:p>
                <w:bookmarkEnd w:id="1"/>
                <w:p>
                  <w:pPr>
                    <w:rPr>
                      <w:sz w:val="20"/>
                    </w:rPr>
                  </w:pPr>
                  <w:r>
                    <w:rPr>
                      <w:sz w:val="20"/>
                    </w:rPr>
                    <w:t>F：位于</w:t>
                  </w:r>
                  <w:r>
                    <w:rPr>
                      <w:rFonts w:hint="eastAsia"/>
                      <w:sz w:val="20"/>
                      <w:lang w:val="en-US" w:eastAsia="zh-CN"/>
                    </w:rPr>
                    <w:t>济南市市中区济微路389号山东力明技工学校食堂1楼三餐厅（山东简聘餐饮管理有限公司承包）</w:t>
                  </w:r>
                  <w:r>
                    <w:rPr>
                      <w:sz w:val="20"/>
                    </w:rPr>
                    <w:t>的餐饮管理服务（热食类食品制售）</w:t>
                  </w:r>
                </w:p>
                <w:p>
                  <w:pPr>
                    <w:autoSpaceDE w:val="0"/>
                    <w:autoSpaceDN w:val="0"/>
                    <w:adjustRightInd w:val="0"/>
                    <w:jc w:val="left"/>
                  </w:pPr>
                  <w:r>
                    <w:rPr>
                      <w:sz w:val="20"/>
                    </w:rPr>
                    <w:t>H：位于</w:t>
                  </w:r>
                  <w:r>
                    <w:rPr>
                      <w:rFonts w:hint="eastAsia"/>
                      <w:sz w:val="20"/>
                      <w:lang w:val="en-US" w:eastAsia="zh-CN"/>
                    </w:rPr>
                    <w:t>济南市市中区济微路389号山东力明技工学校食堂1楼三餐厅（山东简聘餐饮管理有限公司承包）</w:t>
                  </w:r>
                  <w:r>
                    <w:rPr>
                      <w:sz w:val="20"/>
                    </w:rPr>
                    <w:t>的餐饮管理服务（热食类食品制售）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山东省济南市槐荫区时代佳苑沿街8号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hint="eastAsia" w:asciiTheme="minorEastAsia" w:hAnsiTheme="minorEastAsia" w:eastAsiaTheme="minorEastAsia"/>
                      <w:sz w:val="20"/>
                    </w:rPr>
                    <w:t>济南市市中区济微路389号山东力明技工学校食堂1楼三餐厅（山东简聘餐饮管理有限公司承包）</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lang w:val="en-US" w:eastAsia="zh-CN"/>
                    </w:rPr>
                    <w:t>2021-12-01日（HACCP转版）</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auto"/>
          </w:tcPr>
          <w:p>
            <w:pPr>
              <w:shd w:val="clear"/>
            </w:pPr>
            <w:r>
              <w:rPr>
                <w:rFonts w:hint="eastAsia"/>
              </w:rPr>
              <w:t>HACCP体系</w:t>
            </w:r>
          </w:p>
          <w:p>
            <w:pPr>
              <w:shd w:val="clear"/>
            </w:pPr>
            <w:r>
              <w:rPr>
                <w:rFonts w:hint="eastAsia"/>
              </w:rPr>
              <w:t>总要求</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4"/>
              <w:shd w:val="clear"/>
              <w:adjustRightInd w:val="0"/>
              <w:snapToGrid w:val="0"/>
              <w:spacing w:line="360" w:lineRule="auto"/>
              <w:rPr>
                <w:rFonts w:hint="eastAsia" w:eastAsia="宋体"/>
                <w:lang w:eastAsia="zh-CN"/>
              </w:rPr>
            </w:pPr>
            <w:r>
              <w:rPr>
                <w:rFonts w:hint="eastAsia" w:ascii="Times New Roman" w:hAnsi="Times New Roman"/>
              </w:rPr>
              <w:t>企业于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12</w:t>
            </w:r>
            <w:r>
              <w:rPr>
                <w:rFonts w:hint="eastAsia"/>
                <w:u w:val="single"/>
              </w:rPr>
              <w:t>月</w:t>
            </w:r>
            <w:r>
              <w:rPr>
                <w:rFonts w:hint="eastAsia"/>
                <w:u w:val="single"/>
                <w:lang w:val="en-US" w:eastAsia="zh-CN"/>
              </w:rPr>
              <w:t>1</w:t>
            </w:r>
            <w:r>
              <w:rPr>
                <w:rFonts w:hint="eastAsia"/>
                <w:u w:val="single"/>
              </w:rPr>
              <w:t>日</w:t>
            </w:r>
            <w:r>
              <w:rPr>
                <w:rFonts w:hint="eastAsia"/>
              </w:rPr>
              <w:t>建立了文件化HACCP体系；</w:t>
            </w:r>
            <w:r>
              <w:rPr>
                <w:rFonts w:hint="eastAsia"/>
                <w:lang w:eastAsia="zh-CN"/>
              </w:rPr>
              <w:t>【</w:t>
            </w:r>
            <w:r>
              <w:rPr>
                <w:rFonts w:hint="eastAsia"/>
                <w:lang w:val="en-US" w:eastAsia="zh-CN"/>
              </w:rPr>
              <w:t>HACCP体系转版</w:t>
            </w:r>
            <w:r>
              <w:rPr>
                <w:rFonts w:hint="eastAsia"/>
                <w:lang w:eastAsia="zh-CN"/>
              </w:rPr>
              <w:t>】</w:t>
            </w:r>
          </w:p>
          <w:p>
            <w:pPr>
              <w:pStyle w:val="24"/>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4"/>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4"/>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H：位于济南市市中区济微路389号山东力明技工学校食堂1楼三餐厅（山东简聘餐饮管理有限公司承包）的餐饮管理服务（热食类食品制售）；</w:t>
            </w:r>
          </w:p>
          <w:p>
            <w:pPr>
              <w:pStyle w:val="24"/>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4"/>
              <w:shd w:val="clear"/>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4"/>
              <w:shd w:val="clear"/>
              <w:adjustRightInd w:val="0"/>
              <w:snapToGrid w:val="0"/>
              <w:spacing w:line="360" w:lineRule="auto"/>
              <w:rPr>
                <w:rFonts w:hint="default"/>
                <w:highlight w:val="yellow"/>
                <w:u w:val="single"/>
                <w:lang w:val="en-US"/>
              </w:rPr>
            </w:pPr>
            <w:r>
              <w:rPr>
                <w:rFonts w:hint="eastAsia"/>
              </w:rPr>
              <w:t>外包过程包括：</w:t>
            </w:r>
            <w:r>
              <w:rPr>
                <w:rFonts w:hint="eastAsia"/>
                <w:u w:val="single"/>
                <w:lang w:val="en-US" w:eastAsia="zh-CN"/>
              </w:rPr>
              <w:t xml:space="preserve">  </w:t>
            </w:r>
            <w:r>
              <w:rPr>
                <w:rFonts w:hint="eastAsia"/>
                <w:color w:val="000000"/>
                <w:u w:val="single"/>
                <w:lang w:val="en-US" w:eastAsia="zh-CN"/>
              </w:rPr>
              <w:t>产品的第三方检测和厨余垃圾清运工作，通过供方进行管理</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eastAsia="zh-CN"/>
              </w:rPr>
              <w:t>（</w:t>
            </w:r>
            <w:r>
              <w:rPr>
                <w:rFonts w:hint="eastAsia"/>
                <w:lang w:val="en-US" w:eastAsia="zh-CN"/>
              </w:rPr>
              <w:t>见HACCP小组审核记录</w:t>
            </w:r>
            <w:r>
              <w:rPr>
                <w:rFonts w:hint="eastAsia"/>
                <w:lang w:eastAsia="zh-CN"/>
              </w:rPr>
              <w:t>）</w:t>
            </w:r>
            <w:r>
              <w:rPr>
                <w:rFonts w:hint="eastAsia"/>
                <w:lang w:val="en-US" w:eastAsia="zh-CN"/>
              </w:rPr>
              <w:t xml:space="preserve">  </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shd w:val="clear"/>
              <w:jc w:val="left"/>
            </w:pPr>
            <w:r>
              <w:rPr>
                <w:rFonts w:hint="eastAsia"/>
              </w:rPr>
              <w:t>质量/食品安全管理体系及其过程</w:t>
            </w:r>
          </w:p>
        </w:tc>
        <w:tc>
          <w:tcPr>
            <w:tcW w:w="1040" w:type="dxa"/>
            <w:vMerge w:val="restart"/>
            <w:shd w:val="clear" w:color="auto" w:fill="auto"/>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2"/>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4"/>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7"/>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4"/>
              <w:shd w:val="clear"/>
              <w:adjustRightInd w:val="0"/>
              <w:snapToGrid w:val="0"/>
              <w:spacing w:line="360" w:lineRule="auto"/>
              <w:rPr>
                <w:rFonts w:hint="default"/>
                <w:highlight w:val="yellow"/>
                <w:u w:val="single"/>
                <w:lang w:val="en-US"/>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u w:val="single"/>
                <w:lang w:val="en-US" w:eastAsia="zh-CN"/>
              </w:rPr>
              <w:t>产品的第三方检测和厨余垃圾清运工作，通过供方进行管理</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7"/>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4"/>
              <w:shd w:val="clear"/>
              <w:adjustRightInd w:val="0"/>
              <w:snapToGrid w:val="0"/>
              <w:spacing w:line="360" w:lineRule="auto"/>
              <w:rPr>
                <w:rFonts w:hint="default"/>
                <w:highlight w:val="yellow"/>
                <w:u w:val="single"/>
                <w:lang w:val="en-US"/>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u w:val="single"/>
                <w:lang w:val="en-US" w:eastAsia="zh-CN"/>
              </w:rPr>
              <w:t>产品的第三方检测和厨余垃圾清运工作，通过供方进行管理</w:t>
            </w:r>
          </w:p>
          <w:p>
            <w:pPr>
              <w:pStyle w:val="24"/>
              <w:shd w:val="clear"/>
              <w:adjustRightInd w:val="0"/>
              <w:snapToGrid w:val="0"/>
              <w:spacing w:line="360" w:lineRule="auto"/>
              <w:rPr>
                <w:highlight w:val="yellow"/>
                <w:u w:val="single"/>
              </w:rPr>
            </w:pP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环境</w:t>
            </w:r>
            <w:r>
              <w:rPr>
                <w:rFonts w:hint="eastAsia"/>
              </w:rPr>
              <w:t>管理体系</w:t>
            </w:r>
          </w:p>
        </w:tc>
        <w:tc>
          <w:tcPr>
            <w:tcW w:w="1040" w:type="dxa"/>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 xml:space="preserve">其他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pStyle w:val="24"/>
              <w:shd w:val="clear"/>
              <w:adjustRightInd w:val="0"/>
              <w:snapToGrid w:val="0"/>
              <w:spacing w:line="360" w:lineRule="auto"/>
              <w:rPr>
                <w:rFonts w:hint="default"/>
                <w:highlight w:val="yellow"/>
                <w:u w:val="single"/>
                <w:lang w:val="en-US"/>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000000"/>
                <w:u w:val="single"/>
                <w:lang w:val="en-US" w:eastAsia="zh-CN"/>
              </w:rPr>
              <w:t>产品的第三方检测和厨余垃圾清运工作，通过供方进行管理</w:t>
            </w:r>
          </w:p>
          <w:p>
            <w:pPr>
              <w:keepNext w:val="0"/>
              <w:keepLines w:val="0"/>
              <w:suppressLineNumbers w:val="0"/>
              <w:spacing w:before="40" w:beforeAutospacing="0" w:after="40" w:afterAutospacing="0" w:line="240" w:lineRule="auto"/>
              <w:ind w:left="0" w:right="0"/>
              <w:rPr>
                <w:rFonts w:hint="default"/>
                <w:lang w:val="en-US" w:eastAsia="zh-CN"/>
              </w:rPr>
            </w:pP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pStyle w:val="24"/>
              <w:shd w:val="clear"/>
              <w:adjustRightInd w:val="0"/>
              <w:snapToGrid w:val="0"/>
              <w:spacing w:line="360" w:lineRule="auto"/>
              <w:rPr>
                <w:rFonts w:hint="default"/>
                <w:highlight w:val="yellow"/>
                <w:u w:val="single"/>
                <w:lang w:val="en-US"/>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color w:val="000000"/>
                <w:u w:val="single"/>
                <w:lang w:val="en-US" w:eastAsia="zh-CN"/>
              </w:rPr>
              <w:t>产品的第三方检测和厨余垃圾清运工作，通过供方进行管理</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领导作用与承诺</w:t>
            </w:r>
          </w:p>
        </w:tc>
        <w:tc>
          <w:tcPr>
            <w:tcW w:w="1040"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2"/>
              <w:rPr>
                <w:rFonts w:hint="eastAsia"/>
                <w:color w:val="auto"/>
                <w:szCs w:val="21"/>
                <w:highlight w:val="none"/>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2"/>
              <w:rPr>
                <w:rFonts w:hint="eastAsia"/>
                <w:color w:val="000000"/>
                <w:szCs w:val="21"/>
                <w:u w:val="singl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以顾客为关注焦点</w:t>
            </w:r>
          </w:p>
          <w:p/>
        </w:tc>
        <w:tc>
          <w:tcPr>
            <w:tcW w:w="1040"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rFonts w:hint="default" w:eastAsia="宋体"/>
                <w:color w:val="000000"/>
                <w:szCs w:val="21"/>
                <w:lang w:val="en-US" w:eastAsia="zh-CN"/>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A3"/>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目标考核 </w:t>
            </w:r>
            <w:r>
              <w:rPr>
                <w:rFonts w:hint="eastAsia"/>
              </w:rPr>
              <w:sym w:font="Wingdings 2" w:char="0052"/>
            </w:r>
            <w:r>
              <w:rPr>
                <w:rFonts w:hint="eastAsia"/>
              </w:rPr>
              <w:t>其他</w:t>
            </w:r>
            <w:r>
              <w:rPr>
                <w:rFonts w:hint="eastAsia"/>
                <w:lang w:eastAsia="zh-CN"/>
              </w:rPr>
              <w:t>——</w:t>
            </w:r>
            <w:r>
              <w:rPr>
                <w:rFonts w:hint="eastAsia"/>
                <w:lang w:val="en-US" w:eastAsia="zh-CN"/>
              </w:rPr>
              <w:t>投标</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highlight w:val="none"/>
              </w:rPr>
            </w:pPr>
            <w:r>
              <w:rPr>
                <w:rFonts w:hint="eastAsia"/>
                <w:highlight w:val="none"/>
              </w:rPr>
              <w:t>食品安全文化</w:t>
            </w:r>
          </w:p>
          <w:p>
            <w:pPr>
              <w:shd w:val="clear"/>
              <w:rPr>
                <w:highlight w:val="none"/>
              </w:rPr>
            </w:pPr>
          </w:p>
        </w:tc>
        <w:tc>
          <w:tcPr>
            <w:tcW w:w="1040" w:type="dxa"/>
            <w:vMerge w:val="restart"/>
            <w:shd w:val="clear" w:color="auto" w:fill="auto"/>
          </w:tcPr>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2.3</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highlight w:val="none"/>
              </w:rPr>
              <w:sym w:font="Wingdings 2" w:char="0052"/>
            </w:r>
            <w:r>
              <w:rPr>
                <w:rFonts w:hint="eastAsia"/>
                <w:highlight w:val="none"/>
              </w:rPr>
              <w:t>《</w:t>
            </w:r>
            <w:r>
              <w:rPr>
                <w:rFonts w:hint="eastAsia"/>
                <w:highlight w:val="none"/>
                <w:lang w:eastAsia="zh-CN"/>
              </w:rPr>
              <w:t>管理手册</w:t>
            </w:r>
            <w:r>
              <w:rPr>
                <w:rFonts w:hint="eastAsia"/>
                <w:highlight w:val="none"/>
              </w:rPr>
              <w:t>》</w:t>
            </w:r>
            <w:r>
              <w:rPr>
                <w:rFonts w:hint="eastAsia"/>
                <w:highlight w:val="none"/>
                <w:lang w:val="en-US" w:eastAsia="zh-CN"/>
              </w:rPr>
              <w:t>5.1.3 条款</w:t>
            </w:r>
          </w:p>
        </w:tc>
        <w:tc>
          <w:tcPr>
            <w:tcW w:w="1585" w:type="dxa"/>
            <w:vMerge w:val="restart"/>
            <w:shd w:val="clear" w:color="auto" w:fill="auto"/>
          </w:tcPr>
          <w:p>
            <w:pPr>
              <w:shd w:val="clear"/>
              <w:rPr>
                <w:rFonts w:hint="eastAsia"/>
                <w:highlight w:val="none"/>
                <w:lang w:val="en-US" w:eastAsia="zh-CN"/>
              </w:rPr>
            </w:pPr>
            <w:r>
              <w:rPr>
                <w:highlight w:val="none"/>
              </w:rPr>
              <w:sym w:font="Wingdings 2" w:char="0052"/>
            </w:r>
            <w:r>
              <w:rPr>
                <w:rFonts w:hint="eastAsia"/>
                <w:highlight w:val="none"/>
                <w:lang w:val="en-US" w:eastAsia="zh-CN"/>
              </w:rPr>
              <w:t>符合</w:t>
            </w:r>
          </w:p>
          <w:p>
            <w:pPr>
              <w:shd w:val="clear"/>
              <w:rPr>
                <w:highlight w:val="yellow"/>
              </w:rPr>
            </w:pPr>
            <w:r>
              <w:rPr>
                <w:rFonts w:hint="eastAsia"/>
                <w:highlight w:val="none"/>
                <w:lang w:val="en-US" w:eastAsia="zh-CN"/>
              </w:rPr>
              <w:sym w:font="Wingdings 2" w:char="0052"/>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计划2022年10月实施，下次审核关注。</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highlight w:val="none"/>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3</w:t>
            </w:r>
            <w:r>
              <w:rPr>
                <w:rFonts w:hint="eastAsia"/>
                <w:highlight w:val="none"/>
                <w:u w:val="single"/>
              </w:rPr>
              <w:t xml:space="preserve"> 月</w:t>
            </w:r>
            <w:r>
              <w:rPr>
                <w:rFonts w:hint="eastAsia"/>
                <w:highlight w:val="none"/>
                <w:u w:val="single"/>
                <w:lang w:val="en-US" w:eastAsia="zh-CN"/>
              </w:rPr>
              <w:t>10-11</w:t>
            </w:r>
            <w:r>
              <w:rPr>
                <w:rFonts w:hint="eastAsia"/>
                <w:highlight w:val="none"/>
                <w:u w:val="single"/>
              </w:rPr>
              <w:t>日</w:t>
            </w:r>
            <w:r>
              <w:rPr>
                <w:rFonts w:hint="eastAsia"/>
                <w:highlight w:val="none"/>
                <w:u w:val="single"/>
                <w:lang w:eastAsia="zh-CN"/>
              </w:rPr>
              <w:t>，</w:t>
            </w:r>
            <w:r>
              <w:rPr>
                <w:rFonts w:hint="eastAsia"/>
                <w:highlight w:val="none"/>
                <w:u w:val="single"/>
                <w:lang w:val="en-US" w:eastAsia="zh-CN"/>
              </w:rPr>
              <w:t>在内审时进行</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管理</w:t>
            </w:r>
            <w:r>
              <w:rPr>
                <w:rFonts w:hint="eastAsia"/>
              </w:rPr>
              <w:t>方针</w:t>
            </w:r>
          </w:p>
        </w:tc>
        <w:tc>
          <w:tcPr>
            <w:tcW w:w="1040" w:type="dxa"/>
            <w:vMerge w:val="restart"/>
            <w:shd w:val="clear" w:color="auto" w:fill="auto"/>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FE"/>
            </w:r>
            <w:r>
              <w:rPr>
                <w:rFonts w:hint="eastAsia"/>
              </w:rPr>
              <w:t>“0.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pStyle w:val="4"/>
              <w:spacing w:before="4"/>
              <w:ind w:left="0"/>
              <w:rPr>
                <w:rFonts w:hint="eastAsia" w:ascii="宋体" w:hAnsi="宋体" w:eastAsia="宋体" w:cs="宋体"/>
                <w:color w:val="auto"/>
                <w:sz w:val="22"/>
                <w:szCs w:val="22"/>
                <w:highlight w:val="none"/>
              </w:rPr>
            </w:pPr>
          </w:p>
          <w:p>
            <w:pPr>
              <w:spacing w:before="1"/>
              <w:ind w:left="583" w:right="0" w:firstLine="0"/>
              <w:jc w:val="left"/>
              <w:rPr>
                <w:rFonts w:hint="eastAsia" w:ascii="宋体" w:hAnsi="宋体" w:eastAsia="宋体" w:cs="宋体"/>
                <w:b/>
                <w:color w:val="0000FF"/>
                <w:sz w:val="22"/>
                <w:szCs w:val="22"/>
                <w:highlight w:val="none"/>
                <w:u w:val="single"/>
              </w:rPr>
            </w:pPr>
            <w:r>
              <w:rPr>
                <w:rFonts w:hint="eastAsia" w:ascii="宋体" w:hAnsi="宋体" w:eastAsia="宋体" w:cs="宋体"/>
                <w:b/>
                <w:color w:val="0000FF"/>
                <w:sz w:val="22"/>
                <w:szCs w:val="22"/>
                <w:highlight w:val="none"/>
                <w:u w:val="single"/>
              </w:rPr>
              <w:t>质量和食品安全方针：</w:t>
            </w:r>
          </w:p>
          <w:p>
            <w:pPr>
              <w:keepNext w:val="0"/>
              <w:keepLines w:val="0"/>
              <w:pageBreakBefore w:val="0"/>
              <w:widowControl w:val="0"/>
              <w:kinsoku/>
              <w:wordWrap/>
              <w:overflowPunct/>
              <w:topLinePunct w:val="0"/>
              <w:autoSpaceDE w:val="0"/>
              <w:autoSpaceDN w:val="0"/>
              <w:bidi w:val="0"/>
              <w:adjustRightInd/>
              <w:snapToGrid/>
              <w:spacing w:before="0" w:line="365" w:lineRule="auto"/>
              <w:ind w:left="584" w:right="170" w:firstLine="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提供优质餐饮服务，确保食品卫生安全；</w:t>
            </w:r>
          </w:p>
          <w:p>
            <w:pPr>
              <w:keepNext w:val="0"/>
              <w:keepLines w:val="0"/>
              <w:pageBreakBefore w:val="0"/>
              <w:widowControl w:val="0"/>
              <w:kinsoku/>
              <w:wordWrap/>
              <w:overflowPunct/>
              <w:topLinePunct w:val="0"/>
              <w:autoSpaceDE w:val="0"/>
              <w:autoSpaceDN w:val="0"/>
              <w:bidi w:val="0"/>
              <w:adjustRightInd/>
              <w:snapToGrid/>
              <w:spacing w:before="0" w:line="365" w:lineRule="auto"/>
              <w:ind w:left="584" w:right="170" w:firstLine="0"/>
              <w:jc w:val="left"/>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创建绿色文明环境，持续改进管理体系</w:t>
            </w:r>
            <w:r>
              <w:rPr>
                <w:rFonts w:hint="eastAsia" w:ascii="宋体" w:hAnsi="宋体" w:eastAsia="宋体" w:cs="宋体"/>
                <w:color w:val="auto"/>
                <w:sz w:val="22"/>
                <w:szCs w:val="22"/>
                <w:highlight w:val="none"/>
                <w:u w:val="single"/>
                <w:lang w:eastAsia="zh-CN"/>
              </w:rPr>
              <w:t>；</w:t>
            </w:r>
          </w:p>
          <w:p>
            <w:pPr>
              <w:spacing w:before="179"/>
              <w:ind w:left="583" w:right="0" w:firstLine="0"/>
              <w:jc w:val="left"/>
              <w:rPr>
                <w:rFonts w:hint="eastAsia" w:ascii="宋体" w:hAnsi="宋体" w:eastAsia="宋体" w:cs="宋体"/>
                <w:b/>
                <w:color w:val="0000FF"/>
                <w:sz w:val="22"/>
                <w:szCs w:val="22"/>
                <w:highlight w:val="none"/>
                <w:u w:val="single"/>
              </w:rPr>
            </w:pPr>
            <w:r>
              <w:rPr>
                <w:rFonts w:hint="eastAsia" w:ascii="宋体" w:hAnsi="宋体" w:eastAsia="宋体" w:cs="宋体"/>
                <w:b/>
                <w:color w:val="0000FF"/>
                <w:sz w:val="22"/>
                <w:szCs w:val="22"/>
                <w:highlight w:val="none"/>
                <w:u w:val="single"/>
              </w:rPr>
              <w:t>环境/职业健康安全方针：</w:t>
            </w:r>
          </w:p>
          <w:p>
            <w:pPr>
              <w:keepNext w:val="0"/>
              <w:keepLines w:val="0"/>
              <w:pageBreakBefore w:val="0"/>
              <w:widowControl w:val="0"/>
              <w:kinsoku/>
              <w:wordWrap/>
              <w:overflowPunct/>
              <w:topLinePunct w:val="0"/>
              <w:autoSpaceDE w:val="0"/>
              <w:autoSpaceDN w:val="0"/>
              <w:bidi w:val="0"/>
              <w:adjustRightInd/>
              <w:snapToGrid/>
              <w:spacing w:before="0" w:line="365" w:lineRule="auto"/>
              <w:ind w:left="584" w:right="607" w:firstLine="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遵循环境法规，立足污染预防，追求节能低碳，创建环保品牌； </w:t>
            </w:r>
          </w:p>
          <w:p>
            <w:pPr>
              <w:keepNext w:val="0"/>
              <w:keepLines w:val="0"/>
              <w:pageBreakBefore w:val="0"/>
              <w:widowControl w:val="0"/>
              <w:kinsoku/>
              <w:wordWrap/>
              <w:overflowPunct/>
              <w:topLinePunct w:val="0"/>
              <w:autoSpaceDE w:val="0"/>
              <w:autoSpaceDN w:val="0"/>
              <w:bidi w:val="0"/>
              <w:adjustRightInd/>
              <w:snapToGrid/>
              <w:spacing w:before="0" w:line="365" w:lineRule="auto"/>
              <w:ind w:left="584" w:right="607" w:firstLine="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倡导以人为本，关爱员工健康，和谐持续发展，彰显社会责任。</w:t>
            </w:r>
          </w:p>
          <w:p>
            <w:pPr>
              <w:pStyle w:val="10"/>
              <w:ind w:left="0" w:leftChars="0" w:firstLine="0" w:firstLineChars="0"/>
              <w:rPr>
                <w:rFonts w:hint="eastAsia" w:ascii="宋体" w:hAnsi="宋体" w:eastAsia="宋体" w:cs="宋体"/>
                <w:color w:val="auto"/>
                <w:sz w:val="22"/>
                <w:szCs w:val="22"/>
                <w:highlight w:val="none"/>
                <w:lang w:eastAsia="zh-CN"/>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7"/>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5"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eastAsia" w:eastAsia="宋体"/>
                      <w:lang w:eastAsia="zh-CN"/>
                    </w:rPr>
                  </w:pPr>
                  <w:r>
                    <w:rPr>
                      <w:rFonts w:hint="eastAsia"/>
                      <w:lang w:eastAsia="zh-CN"/>
                    </w:rPr>
                    <w:t>行政部</w:t>
                  </w:r>
                </w:p>
              </w:tc>
              <w:tc>
                <w:tcPr>
                  <w:tcW w:w="2580" w:type="dxa"/>
                </w:tcPr>
                <w:p>
                  <w:r>
                    <w:rPr>
                      <w:rFonts w:hint="eastAsia"/>
                    </w:rPr>
                    <w:t>生产/服务设计开发过程</w:t>
                  </w:r>
                </w:p>
              </w:tc>
              <w:tc>
                <w:tcPr>
                  <w:tcW w:w="2261" w:type="dxa"/>
                </w:tcPr>
                <w:p>
                  <w:pPr>
                    <w:rPr>
                      <w:rFonts w:hint="default"/>
                      <w:lang w:val="en-US" w:eastAsia="zh-CN"/>
                    </w:rPr>
                  </w:pP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运营部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运营部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陶书卷 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eastAsia"/>
                      <w:highlight w:val="none"/>
                      <w:lang w:eastAsia="zh-CN"/>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运营部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eastAsia" w:eastAsia="宋体"/>
                      <w:highlight w:val="none"/>
                      <w:lang w:eastAsia="zh-CN"/>
                    </w:rPr>
                  </w:pPr>
                  <w:r>
                    <w:rPr>
                      <w:rFonts w:hint="eastAsia"/>
                      <w:highlight w:val="none"/>
                      <w:lang w:eastAsia="zh-CN"/>
                    </w:rPr>
                    <w:t>行政部</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运营部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highlight w:val="none"/>
                      <w:lang w:val="en-US" w:eastAsia="zh-CN"/>
                    </w:rPr>
                    <w:t>餐饮部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餐饮部、行政部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7"/>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陶书卷先生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7"/>
              <w:rPr>
                <w:rFonts w:hint="eastAsia"/>
                <w:sz w:val="21"/>
                <w:szCs w:val="21"/>
                <w:highlight w:val="none"/>
                <w:lang w:val="en-US" w:eastAsia="zh-CN"/>
              </w:rPr>
            </w:pPr>
          </w:p>
          <w:p>
            <w:pPr>
              <w:pStyle w:val="7"/>
              <w:rPr>
                <w:rFonts w:hint="default"/>
                <w:sz w:val="21"/>
                <w:szCs w:val="21"/>
                <w:highlight w:val="none"/>
                <w:lang w:val="en-US" w:eastAsia="zh-CN"/>
              </w:rPr>
            </w:pPr>
            <w:r>
              <w:rPr>
                <w:rFonts w:hint="eastAsia"/>
                <w:sz w:val="21"/>
                <w:szCs w:val="21"/>
                <w:highlight w:val="none"/>
                <w:lang w:val="en-US" w:eastAsia="zh-CN"/>
              </w:rPr>
              <w:t>OHSMS：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1662"/>
              <w:gridCol w:w="241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38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1662"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5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66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行政部</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15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166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餐饮部、行政部</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5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66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运营部</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5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166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行政部</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579"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陶书卷先</w:t>
            </w:r>
            <w:r>
              <w:rPr>
                <w:rFonts w:hint="eastAsia"/>
                <w:sz w:val="21"/>
                <w:szCs w:val="21"/>
                <w:u w:val="single"/>
                <w:lang w:val="en-US" w:eastAsia="zh-CN"/>
              </w:rPr>
              <w:t xml:space="preserve">生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auto"/>
          </w:tcPr>
          <w:p/>
        </w:tc>
        <w:tc>
          <w:tcPr>
            <w:tcW w:w="1040"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陶书卷先生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FF"/>
                      <w:kern w:val="0"/>
                      <w:szCs w:val="21"/>
                      <w:highlight w:val="none"/>
                      <w:lang w:val="en-US" w:eastAsia="zh-CN" w:bidi="ar"/>
                    </w:rPr>
                  </w:pPr>
                  <w:r>
                    <w:rPr>
                      <w:rFonts w:hint="eastAsia"/>
                      <w:color w:val="0000FF"/>
                      <w:lang w:val="en-US" w:eastAsia="zh-CN"/>
                    </w:rPr>
                    <w:t>管理经营不合规，导致学生投诉、监管部门的处罚</w:t>
                  </w:r>
                </w:p>
              </w:tc>
              <w:tc>
                <w:tcPr>
                  <w:tcW w:w="4073" w:type="dxa"/>
                </w:tcPr>
                <w:p>
                  <w:pPr>
                    <w:pStyle w:val="7"/>
                    <w:numPr>
                      <w:ilvl w:val="0"/>
                      <w:numId w:val="3"/>
                    </w:numPr>
                    <w:ind w:leftChars="0"/>
                    <w:rPr>
                      <w:rFonts w:hint="default" w:eastAsia="宋体"/>
                      <w:color w:val="0000FF"/>
                      <w:highlight w:val="none"/>
                      <w:lang w:val="en-US" w:eastAsia="zh-CN"/>
                    </w:rPr>
                  </w:pPr>
                  <w:r>
                    <w:rPr>
                      <w:rFonts w:hint="eastAsia"/>
                      <w:color w:val="0000FF"/>
                      <w:sz w:val="21"/>
                      <w:szCs w:val="21"/>
                      <w:highlight w:val="none"/>
                      <w:lang w:val="en-US" w:eastAsia="zh-CN"/>
                    </w:rPr>
                    <w:t>规范化管理餐食生产加工过程；</w:t>
                  </w:r>
                </w:p>
                <w:p>
                  <w:pPr>
                    <w:pStyle w:val="7"/>
                    <w:numPr>
                      <w:ilvl w:val="0"/>
                      <w:numId w:val="3"/>
                    </w:numPr>
                    <w:ind w:leftChars="0"/>
                    <w:rPr>
                      <w:rFonts w:hint="default" w:eastAsia="宋体"/>
                      <w:color w:val="0000FF"/>
                      <w:highlight w:val="none"/>
                      <w:lang w:val="en-US" w:eastAsia="zh-CN"/>
                    </w:rPr>
                  </w:pPr>
                  <w:r>
                    <w:rPr>
                      <w:rFonts w:hint="eastAsia"/>
                      <w:color w:val="0000FF"/>
                      <w:sz w:val="21"/>
                      <w:szCs w:val="21"/>
                      <w:highlight w:val="none"/>
                      <w:lang w:val="en-US" w:eastAsia="zh-CN"/>
                    </w:rPr>
                    <w:t>不定期收集食品安全、环保、职业健康等法律法规标准要求，识别适用标准要求，并通过培训进行落实</w:t>
                  </w:r>
                </w:p>
              </w:tc>
              <w:tc>
                <w:tcPr>
                  <w:tcW w:w="1717" w:type="dxa"/>
                </w:tcPr>
                <w:p>
                  <w:pPr>
                    <w:rPr>
                      <w:color w:val="0000FF"/>
                      <w:highlight w:val="none"/>
                    </w:rPr>
                  </w:pPr>
                  <w:r>
                    <w:rPr>
                      <w:rFonts w:hint="eastAsia"/>
                      <w:color w:val="0000FF"/>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color w:val="0000FF"/>
                      <w:lang w:val="en-US" w:eastAsia="zh-CN"/>
                    </w:rPr>
                  </w:pPr>
                  <w:r>
                    <w:rPr>
                      <w:rFonts w:hint="eastAsia"/>
                      <w:color w:val="0000FF"/>
                      <w:lang w:val="en-US" w:eastAsia="zh-CN"/>
                    </w:rPr>
                    <w:t>餐食加工过程控制不当产生火灾事故</w:t>
                  </w:r>
                </w:p>
              </w:tc>
              <w:tc>
                <w:tcPr>
                  <w:tcW w:w="4073" w:type="dxa"/>
                  <w:vAlign w:val="top"/>
                </w:tcPr>
                <w:p>
                  <w:pPr>
                    <w:widowControl/>
                    <w:numPr>
                      <w:ilvl w:val="0"/>
                      <w:numId w:val="4"/>
                    </w:numPr>
                    <w:spacing w:line="360" w:lineRule="exact"/>
                    <w:jc w:val="left"/>
                    <w:textAlignment w:val="center"/>
                    <w:rPr>
                      <w:rFonts w:hint="default"/>
                      <w:color w:val="0000FF"/>
                      <w:lang w:val="en-US" w:eastAsia="zh-CN"/>
                    </w:rPr>
                  </w:pPr>
                  <w:r>
                    <w:rPr>
                      <w:rFonts w:hint="eastAsia"/>
                      <w:color w:val="0000FF"/>
                      <w:lang w:val="en-US" w:eastAsia="zh-CN"/>
                    </w:rPr>
                    <w:t>委托外部有资质的第三方进行清理；</w:t>
                  </w:r>
                </w:p>
                <w:p>
                  <w:pPr>
                    <w:widowControl/>
                    <w:numPr>
                      <w:ilvl w:val="0"/>
                      <w:numId w:val="4"/>
                    </w:numPr>
                    <w:spacing w:line="360" w:lineRule="exact"/>
                    <w:ind w:left="0" w:leftChars="0" w:firstLine="0" w:firstLineChars="0"/>
                    <w:jc w:val="left"/>
                    <w:textAlignment w:val="center"/>
                    <w:rPr>
                      <w:rFonts w:hint="default"/>
                      <w:color w:val="0000FF"/>
                      <w:lang w:val="en-US" w:eastAsia="zh-CN"/>
                    </w:rPr>
                  </w:pPr>
                  <w:r>
                    <w:rPr>
                      <w:rFonts w:hint="eastAsia"/>
                      <w:color w:val="0000FF"/>
                      <w:lang w:val="en-US" w:eastAsia="zh-CN"/>
                    </w:rPr>
                    <w:t>自行定期检查灭火器、灭火毯；</w:t>
                  </w:r>
                </w:p>
                <w:p>
                  <w:pPr>
                    <w:widowControl/>
                    <w:numPr>
                      <w:ilvl w:val="0"/>
                      <w:numId w:val="4"/>
                    </w:numPr>
                    <w:spacing w:line="360" w:lineRule="exact"/>
                    <w:ind w:left="0" w:leftChars="0" w:firstLine="0" w:firstLineChars="0"/>
                    <w:jc w:val="left"/>
                    <w:textAlignment w:val="center"/>
                    <w:rPr>
                      <w:rFonts w:hint="default"/>
                      <w:color w:val="0000FF"/>
                      <w:lang w:val="en-US" w:eastAsia="zh-CN"/>
                    </w:rPr>
                  </w:pPr>
                  <w:r>
                    <w:rPr>
                      <w:rFonts w:hint="eastAsia"/>
                      <w:color w:val="0000FF"/>
                      <w:lang w:val="en-US" w:eastAsia="zh-CN"/>
                    </w:rPr>
                    <w:t>火灾应急演练</w:t>
                  </w:r>
                </w:p>
              </w:tc>
              <w:tc>
                <w:tcPr>
                  <w:tcW w:w="1717" w:type="dxa"/>
                </w:tcPr>
                <w:p>
                  <w:pPr>
                    <w:rPr>
                      <w:color w:val="0000FF"/>
                      <w:highlight w:val="none"/>
                    </w:rPr>
                  </w:pPr>
                  <w:r>
                    <w:rPr>
                      <w:rFonts w:hint="eastAsia"/>
                      <w:color w:val="0000FF"/>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食材控制不当或未烧熟煮透，导致学生就餐食物中毒</w:t>
                  </w:r>
                </w:p>
              </w:tc>
              <w:tc>
                <w:tcPr>
                  <w:tcW w:w="4073" w:type="dxa"/>
                  <w:vAlign w:val="top"/>
                </w:tcPr>
                <w:p>
                  <w:pPr>
                    <w:numPr>
                      <w:ilvl w:val="0"/>
                      <w:numId w:val="5"/>
                    </w:numPr>
                    <w:rPr>
                      <w:rFonts w:hint="default"/>
                      <w:color w:val="0000FF"/>
                      <w:highlight w:val="none"/>
                      <w:lang w:val="en-US" w:eastAsia="zh-CN"/>
                    </w:rPr>
                  </w:pPr>
                  <w:r>
                    <w:rPr>
                      <w:rFonts w:hint="eastAsia"/>
                      <w:color w:val="0000FF"/>
                      <w:highlight w:val="none"/>
                      <w:lang w:val="en-US" w:eastAsia="zh-CN"/>
                    </w:rPr>
                    <w:t>建立食物中毒预案，组织演练；</w:t>
                  </w:r>
                </w:p>
                <w:p>
                  <w:pPr>
                    <w:pStyle w:val="11"/>
                    <w:numPr>
                      <w:ilvl w:val="0"/>
                      <w:numId w:val="5"/>
                    </w:numPr>
                    <w:ind w:left="0" w:leftChars="0" w:firstLine="0" w:firstLineChars="0"/>
                    <w:rPr>
                      <w:rFonts w:hint="default" w:ascii="Times New Roman" w:hAnsi="Times New Roman" w:eastAsia="宋体" w:cs="Times New Roman"/>
                      <w:color w:val="0000FF"/>
                      <w:kern w:val="2"/>
                      <w:sz w:val="21"/>
                      <w:szCs w:val="24"/>
                      <w:highlight w:val="none"/>
                      <w:lang w:val="en-US" w:eastAsia="zh-CN" w:bidi="ar-SA"/>
                    </w:rPr>
                  </w:pPr>
                  <w:r>
                    <w:rPr>
                      <w:rFonts w:hint="eastAsia" w:ascii="Times New Roman" w:hAnsi="Times New Roman" w:eastAsia="宋体" w:cs="Times New Roman"/>
                      <w:color w:val="0000FF"/>
                      <w:kern w:val="2"/>
                      <w:sz w:val="21"/>
                      <w:szCs w:val="24"/>
                      <w:highlight w:val="none"/>
                      <w:lang w:val="en-US" w:eastAsia="zh-CN" w:bidi="ar-SA"/>
                    </w:rPr>
                    <w:t>合格供方采购食材；</w:t>
                  </w:r>
                </w:p>
                <w:p>
                  <w:pPr>
                    <w:pStyle w:val="11"/>
                    <w:numPr>
                      <w:ilvl w:val="0"/>
                      <w:numId w:val="5"/>
                    </w:numPr>
                    <w:ind w:left="0" w:leftChars="0" w:firstLine="0" w:firstLineChars="0"/>
                    <w:rPr>
                      <w:rFonts w:hint="eastAsia" w:ascii="Times New Roman" w:hAnsi="Times New Roman" w:cs="Times New Roman"/>
                      <w:color w:val="0000FF"/>
                      <w:kern w:val="2"/>
                      <w:sz w:val="21"/>
                      <w:szCs w:val="24"/>
                      <w:highlight w:val="none"/>
                      <w:lang w:val="en-US" w:eastAsia="zh-CN" w:bidi="ar-SA"/>
                    </w:rPr>
                  </w:pPr>
                  <w:r>
                    <w:rPr>
                      <w:rFonts w:hint="eastAsia" w:ascii="Times New Roman" w:hAnsi="Times New Roman" w:cs="Times New Roman"/>
                      <w:color w:val="0000FF"/>
                      <w:kern w:val="2"/>
                      <w:sz w:val="21"/>
                      <w:szCs w:val="24"/>
                      <w:highlight w:val="none"/>
                      <w:lang w:val="en-US" w:eastAsia="zh-CN" w:bidi="ar-SA"/>
                    </w:rPr>
                    <w:t>严格管控生产加工环节、确保餐食安全；</w:t>
                  </w:r>
                </w:p>
                <w:p>
                  <w:pPr>
                    <w:pStyle w:val="11"/>
                    <w:numPr>
                      <w:ilvl w:val="0"/>
                      <w:numId w:val="5"/>
                    </w:numPr>
                    <w:ind w:left="0" w:leftChars="0" w:firstLine="0" w:firstLineChars="0"/>
                    <w:rPr>
                      <w:rFonts w:hint="default" w:ascii="Times New Roman" w:hAnsi="Times New Roman" w:cs="Times New Roman"/>
                      <w:color w:val="0000FF"/>
                      <w:kern w:val="2"/>
                      <w:sz w:val="21"/>
                      <w:szCs w:val="24"/>
                      <w:highlight w:val="none"/>
                      <w:lang w:val="en-US" w:eastAsia="zh-CN" w:bidi="ar-SA"/>
                    </w:rPr>
                  </w:pPr>
                  <w:r>
                    <w:rPr>
                      <w:rFonts w:hint="eastAsia" w:ascii="Times New Roman" w:hAnsi="Times New Roman" w:cs="Times New Roman"/>
                      <w:color w:val="0000FF"/>
                      <w:kern w:val="2"/>
                      <w:sz w:val="21"/>
                      <w:szCs w:val="24"/>
                      <w:highlight w:val="none"/>
                      <w:lang w:val="en-US" w:eastAsia="zh-CN" w:bidi="ar-SA"/>
                    </w:rPr>
                    <w:t>餐具清洁消毒后使用</w:t>
                  </w:r>
                </w:p>
              </w:tc>
              <w:tc>
                <w:tcPr>
                  <w:tcW w:w="1717" w:type="dxa"/>
                </w:tcPr>
                <w:p>
                  <w:pPr>
                    <w:rPr>
                      <w:color w:val="0000FF"/>
                      <w:highlight w:val="none"/>
                    </w:rPr>
                  </w:pPr>
                  <w:r>
                    <w:rPr>
                      <w:rFonts w:hint="eastAsia"/>
                      <w:color w:val="0000FF"/>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7"/>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color w:val="0000FF"/>
                      <w:highlight w:val="none"/>
                    </w:rPr>
                  </w:pPr>
                  <w:r>
                    <w:rPr>
                      <w:rFonts w:hint="eastAsia"/>
                      <w:color w:val="0000FF"/>
                      <w:highlight w:val="none"/>
                    </w:rPr>
                    <w:t>主要的机遇描述</w:t>
                  </w:r>
                </w:p>
              </w:tc>
              <w:tc>
                <w:tcPr>
                  <w:tcW w:w="4528" w:type="dxa"/>
                </w:tcPr>
                <w:p>
                  <w:pPr>
                    <w:rPr>
                      <w:color w:val="0000FF"/>
                      <w:szCs w:val="24"/>
                      <w:highlight w:val="none"/>
                    </w:rPr>
                  </w:pPr>
                  <w:r>
                    <w:rPr>
                      <w:rFonts w:hint="eastAsia"/>
                      <w:color w:val="0000FF"/>
                      <w:highlight w:val="none"/>
                    </w:rPr>
                    <w:t>应对措施</w:t>
                  </w:r>
                </w:p>
              </w:tc>
              <w:tc>
                <w:tcPr>
                  <w:tcW w:w="1717" w:type="dxa"/>
                </w:tcPr>
                <w:p>
                  <w:pPr>
                    <w:rPr>
                      <w:color w:val="0000FF"/>
                      <w:highlight w:val="none"/>
                    </w:rPr>
                  </w:pPr>
                  <w:r>
                    <w:rPr>
                      <w:rFonts w:hint="eastAsia"/>
                      <w:color w:val="0000FF"/>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color w:val="0000FF"/>
                      <w:highlight w:val="none"/>
                      <w:lang w:val="en-US" w:eastAsia="zh-CN"/>
                    </w:rPr>
                  </w:pPr>
                  <w:r>
                    <w:rPr>
                      <w:rFonts w:hint="eastAsia"/>
                      <w:color w:val="0000FF"/>
                      <w:highlight w:val="none"/>
                      <w:lang w:val="en-US" w:eastAsia="zh-CN"/>
                    </w:rPr>
                    <w:t>通过体系持续实施，持续改进，不断提升管理能力，开拓市场</w:t>
                  </w:r>
                </w:p>
              </w:tc>
              <w:tc>
                <w:tcPr>
                  <w:tcW w:w="4528" w:type="dxa"/>
                </w:tcPr>
                <w:p>
                  <w:pPr>
                    <w:pStyle w:val="11"/>
                    <w:numPr>
                      <w:ilvl w:val="0"/>
                      <w:numId w:val="6"/>
                    </w:numPr>
                    <w:jc w:val="left"/>
                    <w:rPr>
                      <w:rFonts w:hint="eastAsia"/>
                      <w:color w:val="0000FF"/>
                      <w:highlight w:val="none"/>
                      <w:lang w:val="en-US" w:eastAsia="zh-CN"/>
                    </w:rPr>
                  </w:pPr>
                  <w:r>
                    <w:rPr>
                      <w:rFonts w:hint="eastAsia"/>
                      <w:color w:val="0000FF"/>
                      <w:highlight w:val="none"/>
                      <w:lang w:val="en-US" w:eastAsia="zh-CN"/>
                    </w:rPr>
                    <w:t>体系的持续保持，通过内审管评等持续改进自身管理能力；</w:t>
                  </w:r>
                </w:p>
                <w:p>
                  <w:pPr>
                    <w:pStyle w:val="11"/>
                    <w:numPr>
                      <w:ilvl w:val="0"/>
                      <w:numId w:val="6"/>
                    </w:numPr>
                    <w:jc w:val="left"/>
                    <w:rPr>
                      <w:rFonts w:hint="default"/>
                      <w:color w:val="0000FF"/>
                      <w:highlight w:val="none"/>
                      <w:lang w:val="en-US" w:eastAsia="zh-CN"/>
                    </w:rPr>
                  </w:pPr>
                  <w:r>
                    <w:rPr>
                      <w:rFonts w:hint="eastAsia"/>
                      <w:color w:val="0000FF"/>
                      <w:highlight w:val="none"/>
                      <w:lang w:val="en-US" w:eastAsia="zh-CN"/>
                    </w:rPr>
                    <w:t>及时关注招标信息，做好投标准备</w:t>
                  </w:r>
                </w:p>
              </w:tc>
              <w:tc>
                <w:tcPr>
                  <w:tcW w:w="1717" w:type="dxa"/>
                </w:tcPr>
                <w:p>
                  <w:pPr>
                    <w:rPr>
                      <w:color w:val="0000FF"/>
                      <w:highlight w:val="none"/>
                    </w:rPr>
                  </w:pPr>
                  <w:r>
                    <w:rPr>
                      <w:rFonts w:hint="eastAsia"/>
                      <w:color w:val="0000FF"/>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法规未识别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违规操作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其他  </w:t>
            </w:r>
            <w:r>
              <w:rPr>
                <w:rFonts w:hint="eastAsia" w:ascii="Times New Roman" w:hAnsi="Times New Roman" w:eastAsia="宋体" w:cs="Times New Roman"/>
                <w:kern w:val="2"/>
                <w:sz w:val="21"/>
                <w:szCs w:val="20"/>
                <w:highlight w:val="none"/>
                <w:lang w:val="en-US" w:eastAsia="zh-CN" w:bidi="ar-SA"/>
              </w:rPr>
              <w:t xml:space="preserve">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A8"/>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w:t>
            </w:r>
            <w:r>
              <w:rPr>
                <w:color w:val="auto"/>
                <w:highlight w:val="none"/>
              </w:rPr>
              <w:sym w:font="Wingdings" w:char="00FE"/>
            </w:r>
            <w:r>
              <w:rPr>
                <w:rFonts w:hint="eastAsia"/>
                <w:color w:val="auto"/>
                <w:highlight w:val="none"/>
                <w:lang w:val="en-US" w:eastAsia="zh-CN"/>
              </w:rPr>
              <w:t>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列举2~3项应对主要风险的描述：</w:t>
            </w:r>
          </w:p>
          <w:tbl>
            <w:tblPr>
              <w:tblStyle w:val="13"/>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458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58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202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58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运营部经理每天检查、每周培训讲解；每天进行安全检查；</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58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定期检查灭火器、灭火毯，组织人员进行火灾应急演练；</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pStyle w:val="10"/>
              <w:rPr>
                <w:rFonts w:hint="default"/>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3"/>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经营多年，经验丰富，具备良好的市场竞争能力</w:t>
                  </w:r>
                </w:p>
              </w:tc>
              <w:tc>
                <w:tcPr>
                  <w:tcW w:w="4856" w:type="dxa"/>
                  <w:vAlign w:val="top"/>
                </w:tcPr>
                <w:p>
                  <w:pPr>
                    <w:keepNext w:val="0"/>
                    <w:keepLines w:val="0"/>
                    <w:widowControl w:val="0"/>
                    <w:numPr>
                      <w:ilvl w:val="0"/>
                      <w:numId w:val="7"/>
                    </w:numPr>
                    <w:suppressLineNumbers w:val="0"/>
                    <w:spacing w:before="0" w:beforeAutospacing="0" w:after="0" w:afterAutospacing="0"/>
                    <w:ind w:left="0" w:leftChars="0" w:right="0" w:rightChars="0" w:firstLine="0" w:firstLineChars="0"/>
                    <w:jc w:val="both"/>
                    <w:rPr>
                      <w:rFonts w:hint="eastAsia"/>
                      <w:color w:val="0000FF"/>
                      <w:lang w:val="en-US" w:eastAsia="zh-CN"/>
                    </w:rPr>
                  </w:pPr>
                  <w:r>
                    <w:rPr>
                      <w:rFonts w:hint="eastAsia"/>
                      <w:color w:val="0000FF"/>
                      <w:lang w:val="en-US" w:eastAsia="zh-CN"/>
                    </w:rPr>
                    <w:t>不断实施体系，提升内部管理；</w:t>
                  </w:r>
                </w:p>
                <w:p>
                  <w:pPr>
                    <w:keepNext w:val="0"/>
                    <w:keepLines w:val="0"/>
                    <w:widowControl w:val="0"/>
                    <w:numPr>
                      <w:ilvl w:val="0"/>
                      <w:numId w:val="7"/>
                    </w:numPr>
                    <w:suppressLineNumbers w:val="0"/>
                    <w:spacing w:before="0" w:beforeAutospacing="0" w:after="0" w:afterAutospacing="0"/>
                    <w:ind w:left="0" w:leftChars="0" w:right="0" w:rightChars="0" w:firstLine="0" w:firstLineChars="0"/>
                    <w:jc w:val="both"/>
                    <w:rPr>
                      <w:rFonts w:hint="default"/>
                      <w:color w:val="0000FF"/>
                      <w:lang w:val="en-US" w:eastAsia="zh-CN"/>
                    </w:rPr>
                  </w:pPr>
                  <w:r>
                    <w:rPr>
                      <w:rFonts w:hint="eastAsia"/>
                      <w:color w:val="0000FF"/>
                      <w:lang w:val="en-US" w:eastAsia="zh-CN"/>
                    </w:rPr>
                    <w:t>不发生职业健康安全事故，保持良好声誉，</w:t>
                  </w:r>
                  <w:r>
                    <w:rPr>
                      <w:rFonts w:hint="eastAsia"/>
                      <w:color w:val="0000FF"/>
                      <w:sz w:val="21"/>
                      <w:szCs w:val="21"/>
                      <w:highlight w:val="none"/>
                      <w:vertAlign w:val="baseline"/>
                      <w:lang w:val="en-US" w:eastAsia="zh-CN"/>
                    </w:rPr>
                    <w:t>建立良好的工作氛围</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lang w:val="en-US" w:eastAsia="zh-CN"/>
                    </w:rPr>
                    <w:sym w:font="Wingdings" w:char="00FE"/>
                  </w:r>
                  <w:r>
                    <w:rPr>
                      <w:rFonts w:hint="eastAsia"/>
                      <w:color w:val="0000FF"/>
                      <w:highlight w:val="none"/>
                      <w:lang w:val="en-US" w:eastAsia="zh-CN"/>
                    </w:rPr>
                    <w:t xml:space="preserve">有效 </w:t>
                  </w:r>
                  <w:r>
                    <w:rPr>
                      <w:rFonts w:hint="eastAsia"/>
                      <w:color w:val="0000FF"/>
                      <w:highlight w:val="none"/>
                      <w:lang w:val="en-US" w:eastAsia="zh-CN"/>
                    </w:rPr>
                    <w:sym w:font="Wingdings" w:char="00A8"/>
                  </w:r>
                  <w:r>
                    <w:rPr>
                      <w:rFonts w:hint="eastAsia"/>
                      <w:color w:val="0000FF"/>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auto"/>
          </w:tcPr>
          <w:p/>
        </w:tc>
        <w:tc>
          <w:tcPr>
            <w:tcW w:w="104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color w:val="0000FF"/>
              </w:rPr>
              <w:t>——</w:t>
            </w:r>
            <w:r>
              <w:rPr>
                <w:rFonts w:hint="eastAsia" w:ascii="CIDFont+F5" w:hAnsi="CIDFont+F5" w:eastAsia="CIDFont+F5"/>
                <w:color w:val="0000FF"/>
                <w:lang w:val="en-US" w:eastAsia="zh-CN"/>
              </w:rPr>
              <w:t>提供了《应对机遇和风险措施清单》</w:t>
            </w:r>
            <w:r>
              <w:rPr>
                <w:rFonts w:hint="eastAsia" w:ascii="CIDFont+F5" w:hAnsi="CIDFont+F5" w:eastAsia="CIDFont+F5"/>
                <w:lang w:val="en-US" w:eastAsia="zh-CN"/>
              </w:rPr>
              <w:t>；</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auto"/>
          </w:tcPr>
          <w:p/>
        </w:tc>
        <w:tc>
          <w:tcPr>
            <w:tcW w:w="104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每年进行1次危险源识别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每年进行1次危险源识别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每年进行1次危险源识别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pStyle w:val="20"/>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A8"/>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648"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制定方案、目标进行</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减少误操作、定期培训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减少危险接触、定期培训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auto"/>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rFonts w:hint="eastAsia" w:eastAsia="宋体"/>
                <w:highlight w:val="none"/>
                <w:lang w:eastAsia="zh-CN"/>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《环境、安全目标分解及完成情况考核表》</w:t>
            </w:r>
            <w:r>
              <w:rPr>
                <w:rFonts w:hint="eastAsia"/>
                <w:highlight w:val="none"/>
                <w:lang w:eastAsia="zh-CN"/>
              </w:rPr>
              <w:t>、《》</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7"/>
              <w:rPr>
                <w:rFonts w:hint="eastAsia"/>
                <w:highlight w:val="none"/>
              </w:rPr>
            </w:pPr>
          </w:p>
          <w:p>
            <w:pPr>
              <w:pStyle w:val="7"/>
              <w:rPr>
                <w:rFonts w:hint="eastAsia"/>
                <w:highlight w:val="none"/>
              </w:rPr>
            </w:pPr>
          </w:p>
          <w:tbl>
            <w:tblPr>
              <w:tblStyle w:val="1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114"/>
              <w:gridCol w:w="2061"/>
              <w:gridCol w:w="138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51" w:type="dxa"/>
                  <w:shd w:val="clear" w:color="auto" w:fill="auto"/>
                </w:tcPr>
                <w:p>
                  <w:pPr>
                    <w:widowControl/>
                    <w:spacing w:before="40"/>
                    <w:jc w:val="left"/>
                    <w:rPr>
                      <w:color w:val="0000FF"/>
                      <w:szCs w:val="18"/>
                      <w:highlight w:val="none"/>
                    </w:rPr>
                  </w:pPr>
                  <w:r>
                    <w:rPr>
                      <w:rFonts w:hint="eastAsia"/>
                      <w:color w:val="0000FF"/>
                      <w:szCs w:val="18"/>
                      <w:highlight w:val="none"/>
                    </w:rPr>
                    <w:t>目标</w:t>
                  </w:r>
                </w:p>
              </w:tc>
              <w:tc>
                <w:tcPr>
                  <w:tcW w:w="1114" w:type="dxa"/>
                  <w:shd w:val="clear" w:color="auto" w:fill="auto"/>
                </w:tcPr>
                <w:p>
                  <w:pPr>
                    <w:widowControl/>
                    <w:spacing w:before="40"/>
                    <w:jc w:val="left"/>
                    <w:rPr>
                      <w:color w:val="0000FF"/>
                      <w:szCs w:val="18"/>
                      <w:highlight w:val="none"/>
                    </w:rPr>
                  </w:pPr>
                  <w:r>
                    <w:rPr>
                      <w:rFonts w:hint="eastAsia"/>
                      <w:color w:val="0000FF"/>
                      <w:szCs w:val="18"/>
                      <w:highlight w:val="none"/>
                    </w:rPr>
                    <w:t>考核频次</w:t>
                  </w:r>
                </w:p>
              </w:tc>
              <w:tc>
                <w:tcPr>
                  <w:tcW w:w="2061" w:type="dxa"/>
                  <w:shd w:val="clear" w:color="auto" w:fill="auto"/>
                </w:tcPr>
                <w:p>
                  <w:pPr>
                    <w:widowControl/>
                    <w:spacing w:before="40"/>
                    <w:jc w:val="left"/>
                    <w:rPr>
                      <w:color w:val="0000FF"/>
                      <w:szCs w:val="18"/>
                      <w:highlight w:val="none"/>
                    </w:rPr>
                  </w:pPr>
                  <w:r>
                    <w:rPr>
                      <w:rFonts w:hint="eastAsia"/>
                      <w:color w:val="0000FF"/>
                      <w:szCs w:val="18"/>
                      <w:highlight w:val="none"/>
                    </w:rPr>
                    <w:t>计算方法</w:t>
                  </w:r>
                </w:p>
              </w:tc>
              <w:tc>
                <w:tcPr>
                  <w:tcW w:w="1388" w:type="dxa"/>
                  <w:shd w:val="clear" w:color="auto" w:fill="auto"/>
                </w:tcPr>
                <w:p>
                  <w:pPr>
                    <w:widowControl/>
                    <w:spacing w:before="40"/>
                    <w:jc w:val="left"/>
                    <w:rPr>
                      <w:rFonts w:hint="eastAsia" w:eastAsia="宋体"/>
                      <w:color w:val="0000FF"/>
                      <w:szCs w:val="18"/>
                      <w:highlight w:val="none"/>
                      <w:lang w:val="en-US" w:eastAsia="zh-CN"/>
                    </w:rPr>
                  </w:pPr>
                  <w:r>
                    <w:rPr>
                      <w:rFonts w:hint="eastAsia"/>
                      <w:color w:val="0000FF"/>
                      <w:szCs w:val="18"/>
                      <w:highlight w:val="none"/>
                      <w:lang w:val="en-US" w:eastAsia="zh-CN"/>
                    </w:rPr>
                    <w:t>责任部门</w:t>
                  </w:r>
                </w:p>
              </w:tc>
              <w:tc>
                <w:tcPr>
                  <w:tcW w:w="1952" w:type="dxa"/>
                  <w:shd w:val="clear" w:color="auto" w:fill="auto"/>
                  <w:vAlign w:val="top"/>
                </w:tcPr>
                <w:p>
                  <w:pPr>
                    <w:widowControl/>
                    <w:spacing w:before="40"/>
                    <w:jc w:val="left"/>
                    <w:rPr>
                      <w:rFonts w:hint="eastAsia"/>
                      <w:color w:val="0000FF"/>
                      <w:szCs w:val="18"/>
                      <w:highlight w:val="none"/>
                    </w:rPr>
                  </w:pPr>
                  <w:r>
                    <w:rPr>
                      <w:rFonts w:hint="eastAsia"/>
                      <w:color w:val="0000FF"/>
                      <w:szCs w:val="18"/>
                      <w:highlight w:val="none"/>
                    </w:rPr>
                    <w:t>完成情况</w:t>
                  </w:r>
                </w:p>
                <w:p>
                  <w:pPr>
                    <w:widowControl/>
                    <w:spacing w:before="40"/>
                    <w:jc w:val="left"/>
                    <w:rPr>
                      <w:rFonts w:hint="eastAsia" w:ascii="Times New Roman" w:hAnsi="Times New Roman" w:eastAsia="宋体" w:cs="Times New Roman"/>
                      <w:color w:val="0000FF"/>
                      <w:kern w:val="2"/>
                      <w:sz w:val="21"/>
                      <w:szCs w:val="18"/>
                      <w:highlight w:val="none"/>
                      <w:lang w:val="en-US" w:eastAsia="zh-CN" w:bidi="ar-SA"/>
                    </w:rPr>
                  </w:pPr>
                  <w:r>
                    <w:rPr>
                      <w:rFonts w:hint="eastAsia"/>
                      <w:color w:val="0000FF"/>
                      <w:szCs w:val="18"/>
                      <w:highlight w:val="none"/>
                    </w:rPr>
                    <w:t>（20</w:t>
                  </w:r>
                  <w:r>
                    <w:rPr>
                      <w:rFonts w:hint="eastAsia"/>
                      <w:color w:val="0000FF"/>
                      <w:szCs w:val="18"/>
                      <w:highlight w:val="none"/>
                      <w:lang w:val="en-US" w:eastAsia="zh-CN"/>
                    </w:rPr>
                    <w:t>21</w:t>
                  </w:r>
                  <w:r>
                    <w:rPr>
                      <w:rFonts w:hint="eastAsia"/>
                      <w:color w:val="0000FF"/>
                      <w:szCs w:val="18"/>
                      <w:highlight w:val="none"/>
                    </w:rPr>
                    <w:t>年</w:t>
                  </w:r>
                  <w:r>
                    <w:rPr>
                      <w:rFonts w:hint="eastAsia"/>
                      <w:color w:val="0000FF"/>
                      <w:szCs w:val="18"/>
                      <w:highlight w:val="none"/>
                      <w:lang w:val="en-US" w:eastAsia="zh-CN"/>
                    </w:rPr>
                    <w:t>第二季度至2022年第二季度</w:t>
                  </w:r>
                  <w:r>
                    <w:rPr>
                      <w:rFonts w:hint="eastAsia"/>
                      <w:color w:val="0000FF"/>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1" w:type="dxa"/>
                  <w:shd w:val="clear" w:color="auto" w:fill="auto"/>
                  <w:vAlign w:val="center"/>
                </w:tcPr>
                <w:p>
                  <w:pPr>
                    <w:pStyle w:val="19"/>
                    <w:numPr>
                      <w:ilvl w:val="0"/>
                      <w:numId w:val="0"/>
                    </w:numPr>
                    <w:tabs>
                      <w:tab w:val="left" w:pos="825"/>
                    </w:tabs>
                    <w:spacing w:before="161" w:after="0" w:line="240" w:lineRule="auto"/>
                    <w:ind w:left="0" w:leftChars="0" w:right="0" w:rightChars="0" w:firstLine="0" w:firstLineChars="0"/>
                    <w:jc w:val="both"/>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kern w:val="2"/>
                      <w:sz w:val="18"/>
                      <w:szCs w:val="18"/>
                      <w:lang w:val="en-US" w:eastAsia="zh-CN" w:bidi="ar-SA"/>
                    </w:rPr>
                    <w:t>食品安全事故为 0</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季度</w:t>
                  </w:r>
                </w:p>
              </w:tc>
              <w:tc>
                <w:tcPr>
                  <w:tcW w:w="2061" w:type="dxa"/>
                  <w:shd w:val="clear" w:color="auto" w:fill="auto"/>
                  <w:vAlign w:val="center"/>
                </w:tcPr>
                <w:p>
                  <w:pPr>
                    <w:jc w:val="cente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rPr>
                    <w:t>统计次数</w:t>
                  </w:r>
                </w:p>
              </w:tc>
              <w:tc>
                <w:tcPr>
                  <w:tcW w:w="1388"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lang w:eastAsia="zh-CN"/>
                    </w:rPr>
                    <w:t>餐饮部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1" w:type="dxa"/>
                  <w:shd w:val="clear" w:color="auto" w:fill="auto"/>
                  <w:vAlign w:val="center"/>
                </w:tcPr>
                <w:p>
                  <w:pPr>
                    <w:pStyle w:val="19"/>
                    <w:numPr>
                      <w:ilvl w:val="0"/>
                      <w:numId w:val="0"/>
                    </w:numPr>
                    <w:tabs>
                      <w:tab w:val="left" w:pos="825"/>
                    </w:tabs>
                    <w:spacing w:before="161" w:after="0" w:line="240" w:lineRule="auto"/>
                    <w:ind w:left="0" w:leftChars="0" w:right="0" w:rightChars="0" w:firstLine="0" w:firstLineChars="0"/>
                    <w:jc w:val="both"/>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kern w:val="2"/>
                      <w:sz w:val="18"/>
                      <w:szCs w:val="18"/>
                      <w:lang w:val="en-US" w:eastAsia="zh-CN" w:bidi="ar-SA"/>
                    </w:rPr>
                    <w:t>饭菜质量抽检合格率≧98%</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季度</w:t>
                  </w:r>
                </w:p>
              </w:tc>
              <w:tc>
                <w:tcPr>
                  <w:tcW w:w="2061" w:type="dxa"/>
                  <w:shd w:val="clear" w:color="auto" w:fill="auto"/>
                  <w:vAlign w:val="center"/>
                </w:tcPr>
                <w:p>
                  <w:pPr>
                    <w:jc w:val="cente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lang w:val="en-US" w:eastAsia="zh-CN"/>
                    </w:rPr>
                    <w:t>抽检合格数量</w:t>
                  </w:r>
                  <w:r>
                    <w:rPr>
                      <w:rFonts w:hint="eastAsia" w:ascii="宋体" w:hAnsi="宋体"/>
                      <w:color w:val="0000FF"/>
                      <w:sz w:val="18"/>
                      <w:szCs w:val="18"/>
                    </w:rPr>
                    <w:t>/</w:t>
                  </w:r>
                  <w:r>
                    <w:rPr>
                      <w:rFonts w:hint="eastAsia" w:ascii="宋体" w:hAnsi="宋体"/>
                      <w:color w:val="0000FF"/>
                      <w:sz w:val="18"/>
                      <w:szCs w:val="18"/>
                      <w:lang w:eastAsia="zh-CN"/>
                    </w:rPr>
                    <w:t>总数量</w:t>
                  </w:r>
                  <w:r>
                    <w:rPr>
                      <w:rFonts w:hint="eastAsia" w:ascii="宋体" w:hAnsi="宋体"/>
                      <w:color w:val="0000FF"/>
                      <w:sz w:val="18"/>
                      <w:szCs w:val="18"/>
                    </w:rPr>
                    <w:t>×100%</w:t>
                  </w:r>
                </w:p>
              </w:tc>
              <w:tc>
                <w:tcPr>
                  <w:tcW w:w="1388"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lang w:eastAsia="zh-CN"/>
                    </w:rPr>
                    <w:t>餐饮部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51" w:type="dxa"/>
                  <w:shd w:val="clear" w:color="auto" w:fill="auto"/>
                  <w:vAlign w:val="center"/>
                </w:tcPr>
                <w:p>
                  <w:pPr>
                    <w:jc w:val="both"/>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kern w:val="2"/>
                      <w:sz w:val="18"/>
                      <w:szCs w:val="18"/>
                      <w:lang w:val="en-US" w:eastAsia="zh-CN" w:bidi="ar-SA"/>
                    </w:rPr>
                    <w:t>顾客满意度≥85%</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年度</w:t>
                  </w:r>
                </w:p>
              </w:tc>
              <w:tc>
                <w:tcPr>
                  <w:tcW w:w="2061" w:type="dxa"/>
                  <w:shd w:val="clear" w:color="auto" w:fill="auto"/>
                  <w:vAlign w:val="center"/>
                </w:tcPr>
                <w:p>
                  <w:pPr>
                    <w:jc w:val="cente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rPr>
                    <w:t>顾客满意度分析报告</w:t>
                  </w:r>
                </w:p>
              </w:tc>
              <w:tc>
                <w:tcPr>
                  <w:tcW w:w="1388" w:type="dxa"/>
                  <w:shd w:val="clear" w:color="auto" w:fill="auto"/>
                  <w:vAlign w:val="center"/>
                </w:tcPr>
                <w:p>
                  <w:pPr>
                    <w:jc w:val="cente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lang w:eastAsia="zh-CN"/>
                    </w:rPr>
                    <w:t>运营部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kern w:val="2"/>
                      <w:sz w:val="18"/>
                      <w:szCs w:val="18"/>
                      <w:lang w:val="en-US" w:eastAsia="zh-CN" w:bidi="ar-SA"/>
                    </w:rPr>
                    <w:t>97（2022年第二季度）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1" w:type="dxa"/>
                  <w:shd w:val="clear" w:color="auto" w:fill="auto"/>
                  <w:vAlign w:val="center"/>
                </w:tcPr>
                <w:p>
                  <w:pPr>
                    <w:spacing w:line="400" w:lineRule="exact"/>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rPr>
                    <w:t>重大安全责任事故为零</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季度</w:t>
                  </w:r>
                </w:p>
              </w:tc>
              <w:tc>
                <w:tcPr>
                  <w:tcW w:w="2061" w:type="dxa"/>
                  <w:shd w:val="clear" w:color="auto" w:fill="auto"/>
                  <w:vAlign w:val="center"/>
                </w:tcPr>
                <w:p>
                  <w:pP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rPr>
                    <w:t>统计次数</w:t>
                  </w:r>
                </w:p>
              </w:tc>
              <w:tc>
                <w:tcPr>
                  <w:tcW w:w="1388" w:type="dxa"/>
                  <w:shd w:val="clear" w:color="auto" w:fill="auto"/>
                  <w:vAlign w:val="center"/>
                </w:tcPr>
                <w:p>
                  <w:pPr>
                    <w:spacing w:line="400" w:lineRule="exact"/>
                    <w:jc w:val="center"/>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餐饮部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51" w:type="dxa"/>
                  <w:shd w:val="clear" w:color="auto" w:fill="auto"/>
                  <w:vAlign w:val="center"/>
                </w:tcPr>
                <w:p>
                  <w:pPr>
                    <w:spacing w:line="400" w:lineRule="exact"/>
                    <w:rPr>
                      <w:rFonts w:hint="default"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rPr>
                    <w:t>火灾</w:t>
                  </w:r>
                  <w:r>
                    <w:rPr>
                      <w:rFonts w:hint="eastAsia" w:ascii="宋体" w:hAnsi="宋体" w:eastAsia="宋体" w:cs="Times New Roman"/>
                      <w:color w:val="0000FF"/>
                      <w:sz w:val="18"/>
                      <w:szCs w:val="18"/>
                      <w:lang w:eastAsia="zh-CN"/>
                    </w:rPr>
                    <w:t>、</w:t>
                  </w:r>
                  <w:r>
                    <w:rPr>
                      <w:rFonts w:hint="default" w:ascii="宋体" w:hAnsi="宋体" w:eastAsia="宋体" w:cs="Times New Roman"/>
                      <w:color w:val="0000FF"/>
                      <w:sz w:val="18"/>
                      <w:szCs w:val="18"/>
                      <w:lang w:eastAsia="zh-CN"/>
                    </w:rPr>
                    <w:t>触电发生</w:t>
                  </w:r>
                  <w:r>
                    <w:rPr>
                      <w:rFonts w:hint="eastAsia" w:ascii="宋体" w:hAnsi="宋体" w:eastAsia="宋体" w:cs="Times New Roman"/>
                      <w:color w:val="0000FF"/>
                      <w:sz w:val="18"/>
                      <w:szCs w:val="18"/>
                    </w:rPr>
                    <w:t>事故为零</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季度</w:t>
                  </w:r>
                </w:p>
              </w:tc>
              <w:tc>
                <w:tcPr>
                  <w:tcW w:w="2061" w:type="dxa"/>
                  <w:shd w:val="clear" w:color="auto" w:fill="auto"/>
                  <w:vAlign w:val="center"/>
                </w:tcPr>
                <w:p>
                  <w:pPr>
                    <w:rPr>
                      <w:rFonts w:hint="default" w:ascii="宋体" w:hAnsi="宋体" w:eastAsia="宋体" w:cs="Times New Roman"/>
                      <w:color w:val="0000FF"/>
                      <w:kern w:val="2"/>
                      <w:sz w:val="18"/>
                      <w:szCs w:val="18"/>
                      <w:lang w:val="en-US" w:eastAsia="zh-CN" w:bidi="ar-SA"/>
                    </w:rPr>
                  </w:pPr>
                  <w:r>
                    <w:rPr>
                      <w:rFonts w:hint="eastAsia" w:ascii="宋体" w:hAnsi="宋体"/>
                      <w:color w:val="0000FF"/>
                      <w:sz w:val="18"/>
                      <w:szCs w:val="18"/>
                    </w:rPr>
                    <w:t>统计次数</w:t>
                  </w:r>
                </w:p>
              </w:tc>
              <w:tc>
                <w:tcPr>
                  <w:tcW w:w="1388" w:type="dxa"/>
                  <w:shd w:val="clear" w:color="auto" w:fill="auto"/>
                  <w:vAlign w:val="center"/>
                </w:tcPr>
                <w:p>
                  <w:pPr>
                    <w:spacing w:line="400" w:lineRule="exact"/>
                    <w:jc w:val="center"/>
                    <w:rPr>
                      <w:rFonts w:hint="default"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rPr>
                    <w:t>各部门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1" w:type="dxa"/>
                  <w:shd w:val="clear" w:color="auto" w:fill="auto"/>
                  <w:vAlign w:val="center"/>
                </w:tcPr>
                <w:p>
                  <w:pPr>
                    <w:spacing w:line="400" w:lineRule="exact"/>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餐厨固废分类收集合规处理率100％</w:t>
                  </w:r>
                </w:p>
              </w:tc>
              <w:tc>
                <w:tcPr>
                  <w:tcW w:w="1114" w:type="dxa"/>
                  <w:shd w:val="clear" w:color="auto" w:fill="auto"/>
                  <w:vAlign w:val="center"/>
                </w:tcPr>
                <w:p>
                  <w:pPr>
                    <w:spacing w:line="400" w:lineRule="exact"/>
                    <w:jc w:val="center"/>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季度</w:t>
                  </w:r>
                </w:p>
              </w:tc>
              <w:tc>
                <w:tcPr>
                  <w:tcW w:w="2061" w:type="dxa"/>
                  <w:shd w:val="clear" w:color="auto" w:fill="auto"/>
                  <w:vAlign w:val="center"/>
                </w:tcPr>
                <w:p>
                  <w:pPr>
                    <w:spacing w:line="400" w:lineRule="exact"/>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分类数/总数×100%</w:t>
                  </w:r>
                </w:p>
              </w:tc>
              <w:tc>
                <w:tcPr>
                  <w:tcW w:w="1388" w:type="dxa"/>
                  <w:shd w:val="clear" w:color="auto" w:fill="auto"/>
                  <w:vAlign w:val="center"/>
                </w:tcPr>
                <w:p>
                  <w:pPr>
                    <w:spacing w:line="400" w:lineRule="exact"/>
                    <w:jc w:val="center"/>
                    <w:rPr>
                      <w:rFonts w:hint="default"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各部门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1" w:type="dxa"/>
                  <w:shd w:val="clear" w:color="auto" w:fill="auto"/>
                  <w:vAlign w:val="center"/>
                </w:tcPr>
                <w:p>
                  <w:pPr>
                    <w:spacing w:line="400" w:lineRule="exact"/>
                    <w:rPr>
                      <w:rFonts w:hint="eastAsia" w:ascii="宋体" w:hAnsi="宋体" w:eastAsia="宋体" w:cs="Times New Roman"/>
                      <w:color w:val="0000FF"/>
                      <w:kern w:val="2"/>
                      <w:sz w:val="18"/>
                      <w:szCs w:val="18"/>
                      <w:lang w:val="en-US" w:eastAsia="zh-CN" w:bidi="ar-SA"/>
                    </w:rPr>
                  </w:pPr>
                  <w:r>
                    <w:rPr>
                      <w:rFonts w:hint="default" w:ascii="宋体" w:hAnsi="宋体" w:eastAsia="宋体" w:cs="Times New Roman"/>
                      <w:color w:val="0000FF"/>
                      <w:sz w:val="18"/>
                      <w:szCs w:val="18"/>
                      <w:lang w:eastAsia="zh-CN"/>
                    </w:rPr>
                    <w:t>废水合规排放</w:t>
                  </w:r>
                </w:p>
              </w:tc>
              <w:tc>
                <w:tcPr>
                  <w:tcW w:w="1114"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季度</w:t>
                  </w:r>
                </w:p>
              </w:tc>
              <w:tc>
                <w:tcPr>
                  <w:tcW w:w="2061" w:type="dxa"/>
                  <w:shd w:val="clear" w:color="auto" w:fill="auto"/>
                  <w:vAlign w:val="center"/>
                </w:tcPr>
                <w:p>
                  <w:pPr>
                    <w:rPr>
                      <w:rFonts w:hint="eastAsia" w:ascii="宋体" w:hAnsi="宋体" w:eastAsia="宋体" w:cs="Times New Roman"/>
                      <w:color w:val="0000FF"/>
                      <w:kern w:val="2"/>
                      <w:sz w:val="18"/>
                      <w:szCs w:val="18"/>
                      <w:lang w:val="en-US" w:eastAsia="zh-CN" w:bidi="ar-SA"/>
                    </w:rPr>
                  </w:pPr>
                  <w:r>
                    <w:rPr>
                      <w:rFonts w:hint="eastAsia" w:ascii="宋体" w:hAnsi="宋体"/>
                      <w:color w:val="0000FF"/>
                      <w:kern w:val="2"/>
                      <w:sz w:val="18"/>
                      <w:szCs w:val="18"/>
                      <w:lang w:val="en-US" w:eastAsia="zh-CN" w:bidi="ar-SA"/>
                    </w:rPr>
                    <w:t>餐饮废水达标排放</w:t>
                  </w:r>
                </w:p>
              </w:tc>
              <w:tc>
                <w:tcPr>
                  <w:tcW w:w="1388" w:type="dxa"/>
                  <w:shd w:val="clear" w:color="auto" w:fill="auto"/>
                  <w:vAlign w:val="center"/>
                </w:tcPr>
                <w:p>
                  <w:pPr>
                    <w:spacing w:line="400" w:lineRule="exact"/>
                    <w:jc w:val="center"/>
                    <w:rPr>
                      <w:rFonts w:hint="eastAsia" w:ascii="宋体" w:hAnsi="宋体" w:eastAsia="宋体" w:cs="Times New Roman"/>
                      <w:color w:val="0000FF"/>
                      <w:kern w:val="2"/>
                      <w:sz w:val="18"/>
                      <w:szCs w:val="18"/>
                      <w:lang w:val="en-US" w:eastAsia="zh-CN" w:bidi="ar-SA"/>
                    </w:rPr>
                  </w:pPr>
                  <w:r>
                    <w:rPr>
                      <w:rFonts w:hint="eastAsia" w:ascii="宋体" w:hAnsi="宋体" w:eastAsia="宋体" w:cs="Times New Roman"/>
                      <w:color w:val="0000FF"/>
                      <w:sz w:val="18"/>
                      <w:szCs w:val="18"/>
                      <w:lang w:eastAsia="zh-CN"/>
                    </w:rPr>
                    <w:t>餐饮部</w:t>
                  </w:r>
                </w:p>
              </w:tc>
              <w:tc>
                <w:tcPr>
                  <w:tcW w:w="1952" w:type="dxa"/>
                  <w:shd w:val="clear" w:color="auto" w:fill="auto"/>
                  <w:vAlign w:val="center"/>
                </w:tcPr>
                <w:p>
                  <w:pPr>
                    <w:jc w:val="center"/>
                    <w:rPr>
                      <w:rFonts w:hint="eastAsia" w:ascii="宋体" w:hAnsi="宋体" w:eastAsia="宋体" w:cs="Times New Roman"/>
                      <w:color w:val="0000FF"/>
                      <w:kern w:val="2"/>
                      <w:sz w:val="18"/>
                      <w:szCs w:val="18"/>
                      <w:lang w:val="en-US" w:eastAsia="zh-CN" w:bidi="ar-SA"/>
                    </w:rPr>
                  </w:pPr>
                  <w:r>
                    <w:rPr>
                      <w:rFonts w:hint="eastAsia" w:ascii="宋体" w:hAnsi="宋体"/>
                      <w:color w:val="0000FF"/>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1" w:type="dxa"/>
                  <w:shd w:val="clear" w:color="auto" w:fill="auto"/>
                  <w:vAlign w:val="center"/>
                </w:tcPr>
                <w:p>
                  <w:pPr>
                    <w:spacing w:line="400" w:lineRule="exact"/>
                    <w:rPr>
                      <w:rFonts w:hint="default" w:ascii="宋体" w:hAnsi="宋体" w:eastAsia="宋体" w:cs="Times New Roman"/>
                      <w:color w:val="0000FF"/>
                      <w:kern w:val="2"/>
                      <w:sz w:val="18"/>
                      <w:szCs w:val="18"/>
                      <w:highlight w:val="none"/>
                      <w:lang w:val="en-US" w:eastAsia="zh-CN" w:bidi="ar-SA"/>
                    </w:rPr>
                  </w:pPr>
                  <w:r>
                    <w:rPr>
                      <w:rFonts w:hint="default" w:ascii="宋体" w:hAnsi="宋体" w:eastAsia="宋体" w:cs="Times New Roman"/>
                      <w:color w:val="0000FF"/>
                      <w:sz w:val="18"/>
                      <w:szCs w:val="18"/>
                      <w:highlight w:val="none"/>
                      <w:lang w:eastAsia="zh-CN"/>
                    </w:rPr>
                    <w:t>油烟达标排放</w:t>
                  </w:r>
                </w:p>
              </w:tc>
              <w:tc>
                <w:tcPr>
                  <w:tcW w:w="1114"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rPr>
                    <w:t>季度</w:t>
                  </w:r>
                </w:p>
              </w:tc>
              <w:tc>
                <w:tcPr>
                  <w:tcW w:w="2061" w:type="dxa"/>
                  <w:shd w:val="clear" w:color="auto" w:fill="auto"/>
                  <w:vAlign w:val="center"/>
                </w:tcPr>
                <w:p>
                  <w:pP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eastAsia="zh-CN"/>
                    </w:rPr>
                    <w:t>油烟排放按行业（餐饮业油烟污染物排放标准）标准达标排放【</w:t>
                  </w:r>
                  <w:r>
                    <w:rPr>
                      <w:rFonts w:hint="eastAsia" w:ascii="宋体" w:hAnsi="宋体"/>
                      <w:color w:val="0000FF"/>
                      <w:sz w:val="18"/>
                      <w:szCs w:val="18"/>
                      <w:highlight w:val="none"/>
                      <w:lang w:val="en-US" w:eastAsia="zh-CN"/>
                    </w:rPr>
                    <w:t>策划不合理，已与企业沟通</w:t>
                  </w:r>
                  <w:r>
                    <w:rPr>
                      <w:rFonts w:hint="eastAsia" w:ascii="宋体" w:hAnsi="宋体"/>
                      <w:color w:val="0000FF"/>
                      <w:sz w:val="18"/>
                      <w:szCs w:val="18"/>
                      <w:highlight w:val="none"/>
                      <w:lang w:eastAsia="zh-CN"/>
                    </w:rPr>
                    <w:t>】</w:t>
                  </w:r>
                </w:p>
              </w:tc>
              <w:tc>
                <w:tcPr>
                  <w:tcW w:w="1388" w:type="dxa"/>
                  <w:shd w:val="clear" w:color="auto" w:fill="auto"/>
                  <w:vAlign w:val="center"/>
                </w:tcPr>
                <w:p>
                  <w:pPr>
                    <w:spacing w:line="40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sz w:val="18"/>
                      <w:szCs w:val="18"/>
                      <w:highlight w:val="none"/>
                      <w:lang w:eastAsia="zh-CN"/>
                    </w:rPr>
                    <w:t>餐饮部</w:t>
                  </w:r>
                </w:p>
              </w:tc>
              <w:tc>
                <w:tcPr>
                  <w:tcW w:w="1952"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51"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1114"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061"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1388"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c>
                <w:tcPr>
                  <w:tcW w:w="1952"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pStyle w:val="7"/>
              <w:rPr>
                <w:rFonts w:hint="eastAsia"/>
                <w:highlight w:val="none"/>
              </w:rPr>
            </w:pP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组织对相关管理体系进行变更时，变更应按所策划的方式实施；审核周期内的重大变更有：</w:t>
            </w:r>
          </w:p>
          <w:p>
            <w:pPr>
              <w:spacing w:before="40" w:after="40"/>
              <w:rPr>
                <w:highlight w:val="none"/>
              </w:rPr>
            </w:pPr>
            <w:r>
              <w:rPr>
                <w:rFonts w:hint="eastAsia"/>
                <w:highlight w:val="none"/>
              </w:rPr>
              <w:sym w:font="Wingdings 2" w:char="00A3"/>
            </w:r>
            <w:r>
              <w:rPr>
                <w:rFonts w:hint="eastAsia"/>
                <w:highlight w:val="none"/>
              </w:rPr>
              <w:t xml:space="preserve">组织结构变更 </w:t>
            </w:r>
            <w:r>
              <w:rPr>
                <w:rFonts w:hint="eastAsia"/>
                <w:highlight w:val="none"/>
              </w:rPr>
              <w:sym w:font="Wingdings 2" w:char="00A3"/>
            </w:r>
            <w:r>
              <w:rPr>
                <w:rFonts w:hint="eastAsia"/>
                <w:highlight w:val="none"/>
              </w:rPr>
              <w:t xml:space="preserve">部门职责变更 □主要原材料 </w:t>
            </w:r>
            <w:r>
              <w:rPr>
                <w:rFonts w:hint="eastAsia"/>
                <w:highlight w:val="none"/>
              </w:rPr>
              <w:sym w:font="Wingdings 2" w:char="0052"/>
            </w:r>
            <w:r>
              <w:rPr>
                <w:rFonts w:hint="eastAsia"/>
                <w:highlight w:val="none"/>
              </w:rPr>
              <w:t>关键人员</w:t>
            </w:r>
            <w:r>
              <w:rPr>
                <w:rFonts w:hint="eastAsia"/>
                <w:highlight w:val="none"/>
                <w:lang w:val="en-US" w:eastAsia="zh-CN"/>
              </w:rPr>
              <w:t xml:space="preserve"> </w:t>
            </w:r>
            <w:r>
              <w:rPr>
                <w:rFonts w:hint="eastAsia"/>
                <w:highlight w:val="none"/>
              </w:rPr>
              <w:t xml:space="preserve"> □生产工艺/服务流程 </w:t>
            </w:r>
          </w:p>
          <w:p>
            <w:pPr>
              <w:spacing w:before="40" w:after="40"/>
              <w:rPr>
                <w:rFonts w:hint="default" w:eastAsia="宋体"/>
                <w:highlight w:val="none"/>
                <w:lang w:val="en-US" w:eastAsia="zh-CN"/>
              </w:rPr>
            </w:pPr>
            <w:r>
              <w:rPr>
                <w:rFonts w:hint="eastAsia"/>
                <w:highlight w:val="none"/>
              </w:rPr>
              <w:sym w:font="Wingdings 2" w:char="00A3"/>
            </w:r>
            <w:r>
              <w:rPr>
                <w:rFonts w:hint="eastAsia"/>
                <w:highlight w:val="none"/>
              </w:rPr>
              <w:t xml:space="preserve">主要设备设施 □主要检测设备 </w:t>
            </w:r>
            <w:r>
              <w:rPr>
                <w:highlight w:val="none"/>
              </w:rPr>
              <w:sym w:font="Wingdings" w:char="00FE"/>
            </w:r>
            <w:r>
              <w:rPr>
                <w:rFonts w:hint="eastAsia"/>
                <w:highlight w:val="none"/>
              </w:rPr>
              <w:t>其他——</w:t>
            </w:r>
            <w:r>
              <w:rPr>
                <w:rFonts w:hint="eastAsia"/>
                <w:highlight w:val="none"/>
                <w:lang w:val="en-US" w:eastAsia="zh-CN"/>
              </w:rPr>
              <w:t>客户群体发生变化、经营场所发生变化</w:t>
            </w:r>
          </w:p>
          <w:p>
            <w:pPr>
              <w:pStyle w:val="7"/>
              <w:rPr>
                <w:highlight w:val="non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pPr>
                    <w:rPr>
                      <w:highlight w:val="none"/>
                    </w:rPr>
                  </w:pPr>
                  <w:r>
                    <w:rPr>
                      <w:rFonts w:hint="eastAsia"/>
                      <w:highlight w:val="none"/>
                    </w:rPr>
                    <w:t>体系变更的内容说明</w:t>
                  </w:r>
                </w:p>
              </w:tc>
              <w:tc>
                <w:tcPr>
                  <w:tcW w:w="3145" w:type="dxa"/>
                </w:tcPr>
                <w:p>
                  <w:pPr>
                    <w:rPr>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rPr>
                      <w:highlight w:val="none"/>
                    </w:rPr>
                  </w:pPr>
                  <w:r>
                    <w:rPr>
                      <w:rFonts w:hint="eastAsia"/>
                      <w:highlight w:val="none"/>
                    </w:rPr>
                    <w:t>评价内容</w:t>
                  </w:r>
                </w:p>
              </w:tc>
              <w:tc>
                <w:tcPr>
                  <w:tcW w:w="3145" w:type="dxa"/>
                </w:tcPr>
                <w:p>
                  <w:pPr>
                    <w:rPr>
                      <w:highlight w:val="none"/>
                    </w:rPr>
                  </w:pPr>
                  <w:r>
                    <w:rPr>
                      <w:rFonts w:hint="eastAsia"/>
                      <w:highlight w:val="none"/>
                    </w:rPr>
                    <w:t>评价具体描述</w:t>
                  </w:r>
                </w:p>
              </w:tc>
              <w:tc>
                <w:tcPr>
                  <w:tcW w:w="3015" w:type="dxa"/>
                </w:tcPr>
                <w:p>
                  <w:pPr>
                    <w:rPr>
                      <w:highlight w:val="none"/>
                    </w:rPr>
                  </w:pPr>
                  <w:r>
                    <w:rPr>
                      <w:rFonts w:hint="eastAsia"/>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rPr>
                      <w:highlight w:val="none"/>
                    </w:rPr>
                  </w:pPr>
                  <w:r>
                    <w:rPr>
                      <w:rFonts w:hint="eastAsia"/>
                      <w:highlight w:val="none"/>
                    </w:rPr>
                    <w:t>变更目的</w:t>
                  </w:r>
                </w:p>
              </w:tc>
              <w:tc>
                <w:tcPr>
                  <w:tcW w:w="3145" w:type="dxa"/>
                </w:tcPr>
                <w:p>
                  <w:pPr>
                    <w:rPr>
                      <w:rFonts w:hint="default" w:eastAsia="宋体"/>
                      <w:highlight w:val="none"/>
                      <w:lang w:val="en-US" w:eastAsia="zh-CN"/>
                    </w:rPr>
                  </w:pPr>
                  <w:r>
                    <w:rPr>
                      <w:rFonts w:hint="eastAsia"/>
                      <w:highlight w:val="none"/>
                      <w:lang w:val="en-US" w:eastAsia="zh-CN"/>
                    </w:rPr>
                    <w:t>确保与实际场所、经营地址一致，HACCP体系更新</w:t>
                  </w:r>
                </w:p>
              </w:tc>
              <w:tc>
                <w:tcPr>
                  <w:tcW w:w="3015" w:type="dxa"/>
                </w:tcPr>
                <w:p>
                  <w:pPr>
                    <w:rPr>
                      <w:highlight w:val="none"/>
                    </w:rPr>
                  </w:pPr>
                  <w:r>
                    <w:rPr>
                      <w:rFonts w:hint="eastAsia"/>
                      <w:highlight w:val="none"/>
                    </w:rPr>
                    <w:sym w:font="Wingdings" w:char="00FE"/>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rPr>
                      <w:highlight w:val="none"/>
                    </w:rPr>
                  </w:pPr>
                  <w:r>
                    <w:rPr>
                      <w:rFonts w:hint="eastAsia"/>
                      <w:highlight w:val="none"/>
                    </w:rPr>
                    <w:t>其潜在后果</w:t>
                  </w:r>
                </w:p>
              </w:tc>
              <w:tc>
                <w:tcPr>
                  <w:tcW w:w="3145" w:type="dxa"/>
                </w:tcPr>
                <w:p>
                  <w:pPr>
                    <w:rPr>
                      <w:rFonts w:hint="default" w:eastAsia="宋体"/>
                      <w:highlight w:val="none"/>
                      <w:lang w:val="en-US" w:eastAsia="zh-CN"/>
                    </w:rPr>
                  </w:pPr>
                  <w:r>
                    <w:rPr>
                      <w:rFonts w:hint="eastAsia"/>
                      <w:highlight w:val="none"/>
                      <w:lang w:val="en-US" w:eastAsia="zh-CN"/>
                    </w:rPr>
                    <w:t>基本符合体系要求</w:t>
                  </w:r>
                </w:p>
              </w:tc>
              <w:tc>
                <w:tcPr>
                  <w:tcW w:w="3015" w:type="dxa"/>
                </w:tcPr>
                <w:p>
                  <w:pPr>
                    <w:rPr>
                      <w:highlight w:val="none"/>
                    </w:rPr>
                  </w:pPr>
                  <w:r>
                    <w:rPr>
                      <w:rFonts w:hint="eastAsia"/>
                      <w:highlight w:val="none"/>
                    </w:rPr>
                    <w:sym w:font="Wingdings" w:char="00FE"/>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pPr>
                    <w:rPr>
                      <w:highlight w:val="none"/>
                    </w:rPr>
                  </w:pPr>
                  <w:r>
                    <w:rPr>
                      <w:rFonts w:hint="eastAsia"/>
                      <w:highlight w:val="none"/>
                    </w:rPr>
                    <w:t>管理体系的完整性</w:t>
                  </w:r>
                </w:p>
              </w:tc>
              <w:tc>
                <w:tcPr>
                  <w:tcW w:w="3145" w:type="dxa"/>
                </w:tcPr>
                <w:p>
                  <w:pPr>
                    <w:rPr>
                      <w:rFonts w:hint="default" w:eastAsia="宋体"/>
                      <w:highlight w:val="none"/>
                      <w:lang w:val="en-US" w:eastAsia="zh-CN"/>
                    </w:rPr>
                  </w:pPr>
                  <w:r>
                    <w:rPr>
                      <w:rFonts w:hint="eastAsia"/>
                      <w:highlight w:val="none"/>
                      <w:lang w:val="en-US" w:eastAsia="zh-CN"/>
                    </w:rPr>
                    <w:t>基本完整</w:t>
                  </w:r>
                </w:p>
              </w:tc>
              <w:tc>
                <w:tcPr>
                  <w:tcW w:w="3015" w:type="dxa"/>
                </w:tcPr>
                <w:p>
                  <w:pPr>
                    <w:rPr>
                      <w:highlight w:val="none"/>
                    </w:rPr>
                  </w:pPr>
                  <w:r>
                    <w:rPr>
                      <w:rFonts w:hint="eastAsia"/>
                      <w:highlight w:val="none"/>
                    </w:rPr>
                    <w:sym w:font="Wingdings" w:char="00FE"/>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rPr>
                      <w:highlight w:val="none"/>
                    </w:rPr>
                  </w:pPr>
                  <w:r>
                    <w:rPr>
                      <w:rFonts w:hint="eastAsia"/>
                      <w:highlight w:val="none"/>
                    </w:rPr>
                    <w:t>资源的可获得性</w:t>
                  </w:r>
                </w:p>
              </w:tc>
              <w:tc>
                <w:tcPr>
                  <w:tcW w:w="3145" w:type="dxa"/>
                </w:tcPr>
                <w:p>
                  <w:pPr>
                    <w:rPr>
                      <w:rFonts w:hint="default" w:eastAsia="宋体"/>
                      <w:highlight w:val="none"/>
                      <w:lang w:val="en-US" w:eastAsia="zh-CN"/>
                    </w:rPr>
                  </w:pPr>
                  <w:r>
                    <w:rPr>
                      <w:rFonts w:hint="eastAsia"/>
                      <w:highlight w:val="none"/>
                      <w:lang w:val="en-US" w:eastAsia="zh-CN"/>
                    </w:rPr>
                    <w:t>基本符合</w:t>
                  </w:r>
                </w:p>
              </w:tc>
              <w:tc>
                <w:tcPr>
                  <w:tcW w:w="3015" w:type="dxa"/>
                </w:tcPr>
                <w:p>
                  <w:pPr>
                    <w:rPr>
                      <w:highlight w:val="none"/>
                    </w:rPr>
                  </w:pPr>
                  <w:r>
                    <w:rPr>
                      <w:rFonts w:hint="eastAsia"/>
                      <w:highlight w:val="none"/>
                    </w:rPr>
                    <w:sym w:font="Wingdings" w:char="00FE"/>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rPr>
                      <w:highlight w:val="none"/>
                    </w:rPr>
                  </w:pPr>
                  <w:r>
                    <w:rPr>
                      <w:rFonts w:hint="eastAsia"/>
                      <w:highlight w:val="none"/>
                    </w:rPr>
                    <w:t>职责和权限的分配或再分配</w:t>
                  </w:r>
                </w:p>
              </w:tc>
              <w:tc>
                <w:tcPr>
                  <w:tcW w:w="3145" w:type="dxa"/>
                </w:tcPr>
                <w:p>
                  <w:pPr>
                    <w:rPr>
                      <w:rFonts w:hint="default" w:eastAsia="宋体"/>
                      <w:highlight w:val="none"/>
                      <w:lang w:val="en-US" w:eastAsia="zh-CN"/>
                    </w:rPr>
                  </w:pPr>
                  <w:r>
                    <w:rPr>
                      <w:rFonts w:hint="eastAsia"/>
                      <w:highlight w:val="none"/>
                      <w:lang w:val="en-US" w:eastAsia="zh-CN"/>
                    </w:rPr>
                    <w:t>更加充分合理</w:t>
                  </w:r>
                </w:p>
              </w:tc>
              <w:tc>
                <w:tcPr>
                  <w:tcW w:w="3015" w:type="dxa"/>
                </w:tcPr>
                <w:p>
                  <w:pPr>
                    <w:rPr>
                      <w:highlight w:val="none"/>
                    </w:rPr>
                  </w:pPr>
                  <w:r>
                    <w:rPr>
                      <w:rFonts w:hint="eastAsia"/>
                      <w:highlight w:val="none"/>
                    </w:rPr>
                    <w:sym w:font="Wingdings" w:char="00FE"/>
                  </w:r>
                  <w:r>
                    <w:rPr>
                      <w:rFonts w:hint="eastAsia"/>
                      <w:highlight w:val="none"/>
                    </w:rPr>
                    <w:t xml:space="preserve">可以满足    </w:t>
                  </w:r>
                  <w:r>
                    <w:rPr>
                      <w:rFonts w:hint="eastAsia"/>
                      <w:highlight w:val="none"/>
                    </w:rPr>
                    <w:sym w:font="Wingdings" w:char="00A8"/>
                  </w:r>
                  <w:r>
                    <w:rPr>
                      <w:rFonts w:hint="eastAsia"/>
                      <w:highlight w:val="none"/>
                    </w:rPr>
                    <w:t>不可以满足</w:t>
                  </w:r>
                </w:p>
              </w:tc>
            </w:tr>
          </w:tbl>
          <w:p>
            <w:pPr>
              <w:rPr>
                <w:rFonts w:hint="default" w:eastAsia="宋体"/>
                <w:highlight w:val="none"/>
                <w:lang w:val="en-US" w:eastAsia="zh-CN"/>
              </w:rPr>
            </w:pPr>
            <w:r>
              <w:rPr>
                <w:rFonts w:hint="eastAsia"/>
                <w:highlight w:val="non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highlight w:val="none"/>
              </w:rPr>
            </w:pPr>
            <w:r>
              <w:rPr>
                <w:rFonts w:hint="eastAsia"/>
                <w:highlight w:val="none"/>
              </w:rPr>
              <w:t>资源（总则）</w:t>
            </w:r>
          </w:p>
        </w:tc>
        <w:tc>
          <w:tcPr>
            <w:tcW w:w="1040" w:type="dxa"/>
            <w:vMerge w:val="restart"/>
            <w:shd w:val="clear" w:color="auto" w:fill="auto"/>
          </w:tcPr>
          <w:p>
            <w:pPr>
              <w:rPr>
                <w:sz w:val="21"/>
                <w:szCs w:val="21"/>
                <w:highlight w:val="none"/>
              </w:rPr>
            </w:pPr>
            <w:r>
              <w:rPr>
                <w:rFonts w:hint="eastAsia"/>
                <w:sz w:val="21"/>
                <w:szCs w:val="21"/>
                <w:highlight w:val="none"/>
              </w:rPr>
              <w:t>Q7.1</w:t>
            </w:r>
            <w:r>
              <w:rPr>
                <w:rFonts w:hint="eastAsia"/>
                <w:sz w:val="21"/>
                <w:szCs w:val="21"/>
                <w:highlight w:val="none"/>
                <w:lang w:val="en-US" w:eastAsia="zh-CN"/>
              </w:rPr>
              <w:t>.1</w:t>
            </w:r>
          </w:p>
          <w:p>
            <w:pPr>
              <w:rPr>
                <w:rFonts w:hint="eastAsia"/>
                <w:sz w:val="21"/>
                <w:szCs w:val="21"/>
                <w:highlight w:val="none"/>
                <w:lang w:val="en-US" w:eastAsia="zh-CN"/>
              </w:rPr>
            </w:pPr>
            <w:r>
              <w:rPr>
                <w:rFonts w:hint="eastAsia"/>
                <w:sz w:val="21"/>
                <w:szCs w:val="21"/>
                <w:highlight w:val="none"/>
              </w:rPr>
              <w:t>F7.1</w:t>
            </w:r>
            <w:r>
              <w:rPr>
                <w:rFonts w:hint="eastAsia"/>
                <w:sz w:val="21"/>
                <w:szCs w:val="21"/>
                <w:highlight w:val="none"/>
                <w:lang w:val="en-US" w:eastAsia="zh-CN"/>
              </w:rPr>
              <w:t>.1</w:t>
            </w:r>
          </w:p>
          <w:p>
            <w:pPr>
              <w:pStyle w:val="7"/>
              <w:rPr>
                <w:rFonts w:hint="eastAsia"/>
                <w:color w:val="000000"/>
                <w:sz w:val="21"/>
                <w:szCs w:val="21"/>
                <w:highlight w:val="none"/>
                <w:lang w:val="en-US" w:eastAsia="zh-CN"/>
              </w:rPr>
            </w:pPr>
            <w:r>
              <w:rPr>
                <w:rFonts w:hint="eastAsia"/>
                <w:color w:val="000000"/>
                <w:sz w:val="21"/>
                <w:szCs w:val="21"/>
                <w:highlight w:val="none"/>
                <w:lang w:val="en-US" w:eastAsia="zh-CN"/>
              </w:rPr>
              <w:t>E7.1</w:t>
            </w:r>
          </w:p>
          <w:p>
            <w:pPr>
              <w:pStyle w:val="7"/>
              <w:rPr>
                <w:rFonts w:hint="default"/>
                <w:color w:val="000000"/>
                <w:szCs w:val="21"/>
                <w:highlight w:val="none"/>
                <w:lang w:val="en-US" w:eastAsia="zh-CN"/>
              </w:rPr>
            </w:pPr>
            <w:r>
              <w:rPr>
                <w:rFonts w:hint="eastAsia"/>
                <w:color w:val="000000"/>
                <w:sz w:val="21"/>
                <w:szCs w:val="21"/>
                <w:highlight w:val="none"/>
                <w:lang w:val="en-US" w:eastAsia="zh-CN"/>
              </w:rPr>
              <w:t>O7.1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管理手册第7.1章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8"/>
              </w:numPr>
              <w:rPr>
                <w:color w:val="000000"/>
                <w:szCs w:val="21"/>
                <w:highlight w:val="none"/>
              </w:rPr>
            </w:pPr>
            <w:r>
              <w:rPr>
                <w:rFonts w:hint="eastAsia"/>
                <w:color w:val="000000"/>
                <w:szCs w:val="21"/>
                <w:highlight w:val="none"/>
              </w:rPr>
              <w:t>现有内部资源的能力；</w:t>
            </w:r>
          </w:p>
          <w:p>
            <w:pPr>
              <w:rPr>
                <w:highlight w:val="none"/>
              </w:rPr>
            </w:pPr>
            <w:r>
              <w:rPr>
                <w:rFonts w:hint="eastAsia"/>
                <w:highlight w:val="none"/>
                <w:u w:val="single"/>
                <w:lang w:val="en-US" w:eastAsia="zh-CN"/>
              </w:rPr>
              <w:t>学校食堂1楼三餐厅</w:t>
            </w:r>
            <w:r>
              <w:rPr>
                <w:rFonts w:hint="eastAsia"/>
                <w:highlight w:val="none"/>
                <w:u w:val="single"/>
              </w:rPr>
              <w:t xml:space="preserve">建筑面积 </w:t>
            </w:r>
            <w:r>
              <w:rPr>
                <w:rFonts w:hint="eastAsia"/>
                <w:highlight w:val="none"/>
                <w:u w:val="single"/>
                <w:lang w:val="en-US" w:eastAsia="zh-CN"/>
              </w:rPr>
              <w:t>1200</w:t>
            </w:r>
            <w:r>
              <w:rPr>
                <w:rFonts w:hint="eastAsia"/>
                <w:highlight w:val="none"/>
              </w:rPr>
              <w:t>平方米；</w:t>
            </w:r>
            <w:r>
              <w:rPr>
                <w:rFonts w:hint="eastAsia"/>
                <w:highlight w:val="none"/>
                <w:lang w:val="en-US" w:eastAsia="zh-CN"/>
              </w:rPr>
              <w:t>档口</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个；</w:t>
            </w:r>
            <w:r>
              <w:rPr>
                <w:rFonts w:hint="eastAsia"/>
                <w:highlight w:val="none"/>
                <w:lang w:val="en-US" w:eastAsia="zh-CN"/>
              </w:rPr>
              <w:t>冷藏柜冷冻柜共</w:t>
            </w:r>
            <w:r>
              <w:rPr>
                <w:rFonts w:hint="eastAsia"/>
                <w:highlight w:val="none"/>
                <w:u w:val="single"/>
                <w:lang w:val="en-US" w:eastAsia="zh-CN"/>
              </w:rPr>
              <w:t>32台</w:t>
            </w:r>
            <w:r>
              <w:rPr>
                <w:rFonts w:hint="eastAsia"/>
                <w:highlight w:val="none"/>
                <w:u w:val="single"/>
              </w:rPr>
              <w:t xml:space="preserve"> </w:t>
            </w:r>
            <w:r>
              <w:rPr>
                <w:rFonts w:hint="eastAsia"/>
                <w:highlight w:val="none"/>
                <w:lang w:eastAsia="zh-CN"/>
              </w:rPr>
              <w:t>；</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检测中心</w:t>
            </w:r>
            <w:r>
              <w:rPr>
                <w:rFonts w:hint="eastAsia"/>
                <w:highlight w:val="non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冷藏车</w:t>
            </w:r>
            <w:r>
              <w:rPr>
                <w:rFonts w:hint="eastAsia"/>
                <w:highlight w:val="none"/>
                <w:u w:val="double"/>
                <w:lang w:val="en-US" w:eastAsia="zh-CN"/>
              </w:rPr>
              <w:t>0</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垃圾桶、油烟机、隔油池、灭火器（列举2~4种）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灭火器、灭火毯 （列举2~4种）</w:t>
            </w:r>
          </w:p>
          <w:p>
            <w:pPr>
              <w:pStyle w:val="7"/>
              <w:rPr>
                <w:highlight w:val="none"/>
              </w:rPr>
            </w:pPr>
          </w:p>
          <w:p>
            <w:pPr>
              <w:pStyle w:val="7"/>
              <w:rPr>
                <w:highlight w:val="none"/>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FE"/>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none"/>
              </w:rPr>
            </w:pPr>
          </w:p>
          <w:p>
            <w:pPr>
              <w:pStyle w:val="7"/>
              <w:rPr>
                <w:highlight w:val="none"/>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7"/>
              <w:rPr>
                <w:rFonts w:hint="default"/>
                <w:color w:val="000000"/>
                <w:szCs w:val="21"/>
                <w:highlight w:val="none"/>
                <w:lang w:val="en-US" w:eastAsia="zh-CN"/>
              </w:rPr>
            </w:pPr>
          </w:p>
          <w:p>
            <w:pPr>
              <w:numPr>
                <w:ilvl w:val="0"/>
                <w:numId w:val="9"/>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8"/>
              </w:numPr>
              <w:rPr>
                <w:highlight w:val="none"/>
              </w:rPr>
            </w:pPr>
            <w:r>
              <w:rPr>
                <w:rFonts w:hint="eastAsia"/>
                <w:color w:val="000000"/>
                <w:szCs w:val="21"/>
                <w:highlight w:val="none"/>
              </w:rPr>
              <w:t>需要从外部供方获得的资源：</w:t>
            </w:r>
            <w:r>
              <w:rPr>
                <w:rFonts w:hint="eastAsia"/>
                <w:color w:val="0000FF"/>
                <w:highlight w:val="none"/>
                <w:u w:val="single"/>
              </w:rPr>
              <w:t xml:space="preserve"> </w:t>
            </w:r>
            <w:r>
              <w:rPr>
                <w:rFonts w:hint="eastAsia"/>
                <w:color w:val="0000FF"/>
                <w:highlight w:val="none"/>
                <w:u w:val="single"/>
                <w:lang w:val="en-US" w:eastAsia="zh-CN"/>
              </w:rPr>
              <w:t xml:space="preserve"> 已识别产品的第三方检测和厨余垃圾清运工作为外包过程，通过供方进行管理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r>
              <w:rPr>
                <w:rFonts w:hint="eastAsia"/>
              </w:rPr>
              <w:t xml:space="preserve">沟通  </w:t>
            </w:r>
          </w:p>
        </w:tc>
        <w:tc>
          <w:tcPr>
            <w:tcW w:w="1040" w:type="dxa"/>
            <w:vMerge w:val="restart"/>
            <w:shd w:val="clear" w:color="auto" w:fill="auto"/>
          </w:tcPr>
          <w:p>
            <w:r>
              <w:rPr>
                <w:rFonts w:hint="eastAsia"/>
              </w:rPr>
              <w:t>Q</w:t>
            </w:r>
            <w:r>
              <w:rPr>
                <w:rFonts w:hint="eastAsia"/>
                <w:lang w:val="en-US" w:eastAsia="zh-CN"/>
              </w:rPr>
              <w:t>EOF</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w:t>
            </w:r>
            <w:r>
              <w:rPr>
                <w:rFonts w:hint="eastAsia"/>
                <w:lang w:eastAsia="zh-CN"/>
              </w:rPr>
              <w:t>行政部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color w:val="0000FF"/>
                <w:u w:val="single"/>
                <w:lang w:eastAsia="zh-CN"/>
              </w:rPr>
              <w:t>——</w:t>
            </w:r>
            <w:r>
              <w:rPr>
                <w:rFonts w:hint="eastAsia"/>
                <w:color w:val="0000FF"/>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color w:val="0000FF"/>
                <w:lang w:eastAsia="zh-CN"/>
              </w:rPr>
              <w:t>——</w:t>
            </w:r>
            <w:r>
              <w:rPr>
                <w:rFonts w:hint="eastAsia"/>
                <w:color w:val="0000FF"/>
                <w:lang w:val="en-US" w:eastAsia="zh-CN"/>
              </w:rPr>
              <w:t>见《程序文件》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r>
              <w:rPr>
                <w:rFonts w:hint="eastAsia"/>
                <w:color w:val="0000FF"/>
                <w:lang w:eastAsia="zh-CN"/>
              </w:rPr>
              <w:t>——</w:t>
            </w:r>
            <w:r>
              <w:rPr>
                <w:rFonts w:hint="eastAsia"/>
                <w:color w:val="0000FF"/>
                <w:lang w:val="en-US" w:eastAsia="zh-CN"/>
              </w:rPr>
              <w:t>作业文件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color w:val="0000FF"/>
                <w:lang w:eastAsia="zh-CN"/>
              </w:rPr>
              <w:t>——</w:t>
            </w:r>
            <w:r>
              <w:rPr>
                <w:rFonts w:hint="eastAsia"/>
                <w:color w:val="0000FF"/>
                <w:lang w:val="en-US" w:eastAsia="zh-CN"/>
              </w:rPr>
              <w:t>见审核过程中的各类记录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4"/>
              <w:shd w:val="clear"/>
              <w:adjustRightInd w:val="0"/>
              <w:snapToGrid w:val="0"/>
              <w:spacing w:line="360" w:lineRule="auto"/>
              <w:rPr>
                <w:rFonts w:hint="eastAsia"/>
                <w:color w:val="0000FF"/>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color w:val="0000FF"/>
                <w:u w:val="single"/>
                <w:lang w:val="en-US" w:eastAsia="zh-CN"/>
              </w:rPr>
              <w:t xml:space="preserve"> 已识别产品的第三方检测和厨余垃圾清运工作为外包过程，通过供方进行管理</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auto"/>
          </w:tcPr>
          <w:p>
            <w:pPr>
              <w:shd w:val="clear"/>
            </w:pPr>
            <w:r>
              <w:rPr>
                <w:rFonts w:hint="eastAsia"/>
              </w:rPr>
              <w:t>运行的策划和控制</w:t>
            </w:r>
          </w:p>
        </w:tc>
        <w:tc>
          <w:tcPr>
            <w:tcW w:w="1040"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color w:val="0000FF"/>
                      <w:sz w:val="20"/>
                    </w:rPr>
                    <w:t>餐饮管理服务（热食类食品制售）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rPr>
                      <w:color w:val="0000FF"/>
                    </w:rPr>
                  </w:pPr>
                  <w:r>
                    <w:rPr>
                      <w:rFonts w:hint="eastAsia"/>
                      <w:color w:val="0000FF"/>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rPr>
                      <w:color w:val="0000FF"/>
                    </w:rPr>
                  </w:pPr>
                  <w:r>
                    <w:rPr>
                      <w:rFonts w:hint="eastAsia"/>
                      <w:color w:val="0000FF"/>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color w:val="0000FF"/>
                      <w:lang w:val="en-US" w:eastAsia="zh-CN"/>
                    </w:rPr>
                  </w:pPr>
                  <w:r>
                    <w:rPr>
                      <w:rFonts w:hint="eastAsia" w:eastAsia="宋体"/>
                      <w:color w:val="0000FF"/>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color w:val="0000FF"/>
                      <w:lang w:val="en-US" w:eastAsia="zh-CN"/>
                    </w:rPr>
                  </w:pPr>
                  <w:r>
                    <w:rPr>
                      <w:rFonts w:hint="eastAsia"/>
                      <w:color w:val="0000FF"/>
                      <w:highlight w:val="none"/>
                      <w:lang w:val="en-US" w:eastAsia="zh-CN"/>
                    </w:rPr>
                    <w:t>按照</w:t>
                  </w:r>
                  <w:r>
                    <w:rPr>
                      <w:rFonts w:hint="eastAsia"/>
                      <w:color w:val="0000FF"/>
                      <w:highlight w:val="none"/>
                    </w:rPr>
                    <w:t>GB316</w:t>
                  </w:r>
                  <w:r>
                    <w:rPr>
                      <w:rFonts w:hint="eastAsia"/>
                      <w:color w:val="0000FF"/>
                      <w:highlight w:val="none"/>
                      <w:lang w:val="en-US" w:eastAsia="zh-CN"/>
                    </w:rPr>
                    <w:t>54</w:t>
                  </w:r>
                  <w:r>
                    <w:rPr>
                      <w:rFonts w:hint="eastAsia"/>
                      <w:color w:val="0000FF"/>
                      <w:highlight w:val="none"/>
                    </w:rPr>
                    <w:t>-20</w:t>
                  </w:r>
                  <w:r>
                    <w:rPr>
                      <w:rFonts w:hint="eastAsia"/>
                      <w:color w:val="0000FF"/>
                      <w:highlight w:val="none"/>
                      <w:lang w:val="en-US" w:eastAsia="zh-CN"/>
                    </w:rPr>
                    <w:t>21</w:t>
                  </w:r>
                  <w:r>
                    <w:rPr>
                      <w:rFonts w:hint="eastAsia"/>
                      <w:color w:val="0000FF"/>
                      <w:highlight w:val="none"/>
                    </w:rPr>
                    <w:t>、</w:t>
                  </w:r>
                  <w:r>
                    <w:rPr>
                      <w:rFonts w:hint="eastAsia"/>
                      <w:color w:val="0000FF"/>
                      <w:highlight w:val="none"/>
                      <w:lang w:eastAsia="zh-CN"/>
                    </w:rPr>
                    <w:t>《</w:t>
                  </w:r>
                  <w:r>
                    <w:rPr>
                      <w:rFonts w:hint="eastAsia"/>
                      <w:color w:val="0000FF"/>
                      <w:highlight w:val="none"/>
                      <w:lang w:val="en-US" w:eastAsia="zh-CN"/>
                    </w:rPr>
                    <w:t>餐饮服务操作规范</w:t>
                  </w:r>
                  <w:r>
                    <w:rPr>
                      <w:rFonts w:hint="eastAsia"/>
                      <w:color w:val="0000FF"/>
                      <w:highlight w:val="none"/>
                      <w:lang w:eastAsia="zh-CN"/>
                    </w:rPr>
                    <w:t>》</w:t>
                  </w:r>
                  <w:r>
                    <w:rPr>
                      <w:rFonts w:hint="eastAsia"/>
                      <w:color w:val="0000FF"/>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rPr>
                      <w:color w:val="0000FF"/>
                    </w:rPr>
                  </w:pPr>
                  <w:r>
                    <w:rPr>
                      <w:rFonts w:hint="eastAsia"/>
                      <w:color w:val="0000FF"/>
                    </w:rPr>
                    <w:t>见</w:t>
                  </w:r>
                  <w:r>
                    <w:rPr>
                      <w:rFonts w:hint="eastAsia"/>
                      <w:color w:val="0000FF"/>
                      <w:lang w:val="en-US" w:eastAsia="zh-CN"/>
                    </w:rPr>
                    <w:t>Q</w:t>
                  </w:r>
                  <w:r>
                    <w:rPr>
                      <w:rFonts w:hint="eastAsia"/>
                      <w:color w:val="0000FF"/>
                    </w:rPr>
                    <w:t>8</w:t>
                  </w:r>
                  <w:r>
                    <w:rPr>
                      <w:color w:val="0000FF"/>
                    </w:rPr>
                    <w:t>.5</w:t>
                  </w:r>
                  <w:r>
                    <w:rPr>
                      <w:rFonts w:hint="eastAsia"/>
                      <w:color w:val="0000FF"/>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rPr>
                      <w:color w:val="0000FF"/>
                    </w:rPr>
                  </w:pPr>
                  <w:r>
                    <w:rPr>
                      <w:rFonts w:hint="eastAsia"/>
                      <w:color w:val="0000FF"/>
                    </w:rPr>
                    <w:t>见</w:t>
                  </w:r>
                  <w:r>
                    <w:rPr>
                      <w:rFonts w:hint="eastAsia"/>
                      <w:color w:val="0000FF"/>
                      <w:lang w:val="en-US" w:eastAsia="zh-CN"/>
                    </w:rPr>
                    <w:t>Q</w:t>
                  </w:r>
                  <w:r>
                    <w:rPr>
                      <w:rFonts w:hint="eastAsia"/>
                      <w:color w:val="0000FF"/>
                    </w:rPr>
                    <w:t>8</w:t>
                  </w:r>
                  <w:r>
                    <w:rPr>
                      <w:color w:val="0000FF"/>
                    </w:rPr>
                    <w:t>.5</w:t>
                  </w:r>
                  <w:r>
                    <w:rPr>
                      <w:rFonts w:hint="eastAsia"/>
                      <w:color w:val="0000FF"/>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color w:val="0000FF"/>
                      <w:lang w:val="en-US" w:eastAsia="zh-CN"/>
                    </w:rPr>
                  </w:pPr>
                  <w:r>
                    <w:rPr>
                      <w:rFonts w:hint="eastAsia"/>
                      <w:color w:val="0000FF"/>
                    </w:rPr>
                    <w:t>有</w:t>
                  </w:r>
                  <w:r>
                    <w:rPr>
                      <w:rFonts w:hint="eastAsia"/>
                      <w:color w:val="0000FF"/>
                      <w:lang w:val="en-US" w:eastAsia="zh-CN"/>
                    </w:rPr>
                    <w:t>工艺</w:t>
                  </w:r>
                  <w:r>
                    <w:rPr>
                      <w:rFonts w:hint="eastAsia"/>
                      <w:color w:val="0000FF"/>
                    </w:rPr>
                    <w:t>流程图、管理制度</w:t>
                  </w:r>
                  <w:r>
                    <w:rPr>
                      <w:rFonts w:hint="eastAsia"/>
                      <w:color w:val="0000FF"/>
                      <w:lang w:eastAsia="zh-CN"/>
                    </w:rPr>
                    <w:t>、</w:t>
                  </w:r>
                  <w:r>
                    <w:rPr>
                      <w:rFonts w:hint="eastAsia"/>
                      <w:color w:val="0000FF"/>
                      <w:lang w:val="en-US" w:eastAsia="zh-CN"/>
                    </w:rPr>
                    <w:t>作业文件、设备操作规程</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default" w:eastAsia="宋体"/>
                      <w:color w:val="0000FF"/>
                      <w:lang w:val="en-US" w:eastAsia="zh-CN"/>
                    </w:rPr>
                  </w:pPr>
                  <w:r>
                    <w:rPr>
                      <w:rFonts w:hint="eastAsia"/>
                      <w:color w:val="0000FF"/>
                    </w:rPr>
                    <w:t>索证</w:t>
                  </w:r>
                  <w:r>
                    <w:rPr>
                      <w:rFonts w:hint="eastAsia"/>
                      <w:color w:val="0000FF"/>
                      <w:lang w:val="en-US" w:eastAsia="zh-CN"/>
                    </w:rPr>
                    <w:t>索票</w:t>
                  </w:r>
                  <w:r>
                    <w:rPr>
                      <w:rFonts w:hint="eastAsia"/>
                      <w:color w:val="0000FF"/>
                      <w:lang w:eastAsia="zh-CN"/>
                    </w:rPr>
                    <w:t>，</w:t>
                  </w:r>
                  <w:r>
                    <w:rPr>
                      <w:rFonts w:hint="eastAsia"/>
                      <w:color w:val="0000FF"/>
                      <w:lang w:val="en-US" w:eastAsia="zh-CN"/>
                    </w:rPr>
                    <w:t>餐具消毒，餐食中心温度验证，餐食烧熟煮透，</w:t>
                  </w:r>
                  <w:r>
                    <w:rPr>
                      <w:rFonts w:hint="eastAsia"/>
                      <w:color w:val="0000FF"/>
                    </w:rPr>
                    <w:t>顾客满意度调查表</w:t>
                  </w:r>
                  <w:r>
                    <w:rPr>
                      <w:rFonts w:hint="eastAsia"/>
                      <w:color w:val="0000FF"/>
                      <w:lang w:eastAsia="zh-CN"/>
                    </w:rPr>
                    <w:t>、</w:t>
                  </w:r>
                  <w:r>
                    <w:rPr>
                      <w:rFonts w:hint="eastAsia"/>
                      <w:color w:val="0000FF"/>
                      <w:lang w:val="en-US" w:eastAsia="zh-CN"/>
                    </w:rPr>
                    <w:t>顾客投诉处理等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color w:val="0000FF"/>
                    </w:rPr>
                  </w:pPr>
                  <w:r>
                    <w:rPr>
                      <w:rFonts w:hint="eastAsia"/>
                      <w:color w:val="0000FF"/>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4"/>
                    <w:shd w:val="clear"/>
                    <w:adjustRightInd w:val="0"/>
                    <w:snapToGrid w:val="0"/>
                    <w:spacing w:line="360" w:lineRule="auto"/>
                    <w:rPr>
                      <w:rFonts w:hint="default" w:eastAsia="宋体"/>
                      <w:color w:val="0000FF"/>
                      <w:highlight w:val="yellow"/>
                      <w:lang w:val="en-US" w:eastAsia="zh-CN"/>
                    </w:rPr>
                  </w:pPr>
                  <w:r>
                    <w:rPr>
                      <w:rFonts w:hint="eastAsia"/>
                      <w:color w:val="0000FF"/>
                      <w:u w:val="none"/>
                      <w:lang w:val="en-US" w:eastAsia="zh-CN"/>
                    </w:rPr>
                    <w:t>已识别产品的第三方检测和厨余垃圾清运工作为外包过程，通过供方进行管理</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10"/>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/良好生产规范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10"/>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餐食加工制作售卖</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已识别产品的第三方检测和厨余垃圾清运工作为外包过程，通过供方进行管理</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见H1.2.3审核记录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生产规范》/《前提方案》、《人力资源控制程序》、《食品过敏原控制程序》、《预防和消除食品欺诈程序》、《设计和开发程序》等程序文件，基本满足标准中有关前提计划的要求，详见“H3.2至H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eastAsia"/>
                <w:highlight w:val="none"/>
                <w:lang w:val="en-US" w:eastAsia="zh-CN"/>
              </w:rPr>
            </w:pPr>
            <w:r>
              <w:rPr>
                <w:rFonts w:hint="eastAsia"/>
                <w:highlight w:val="none"/>
                <w:lang w:val="en-US" w:eastAsia="zh-CN"/>
              </w:rPr>
              <w:t>E 8.2</w:t>
            </w:r>
          </w:p>
          <w:p>
            <w:pPr>
              <w:pStyle w:val="2"/>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w:t>
            </w:r>
            <w:r>
              <w:rPr>
                <w:rFonts w:hint="eastAsia"/>
                <w:highlight w:val="none"/>
                <w:lang w:val="en-US" w:eastAsia="zh-CN"/>
              </w:rPr>
              <w:t>突发事件准备和响应控制程序</w:t>
            </w:r>
            <w:r>
              <w:rPr>
                <w:rFonts w:hint="eastAsia"/>
                <w:highlight w:val="none"/>
              </w:rPr>
              <w:t>》、</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w:t>
            </w:r>
            <w:r>
              <w:rPr>
                <w:rFonts w:hint="eastAsia"/>
                <w:highlight w:val="none"/>
                <w:lang w:val="en-US" w:eastAsia="zh-CN"/>
              </w:rPr>
              <w:t>突发事件准备和响应控制程序</w:t>
            </w:r>
            <w:r>
              <w:rPr>
                <w:rFonts w:hint="eastAsia"/>
                <w:highlight w:val="none"/>
              </w:rPr>
              <w:t>》、</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具体“见餐饮部审核记录”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监视、测量、分析和评价</w:t>
            </w:r>
          </w:p>
        </w:tc>
        <w:tc>
          <w:tcPr>
            <w:tcW w:w="1040"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b/>
                <w:bCs/>
                <w:lang w:val="en-US" w:eastAsia="zh-CN"/>
              </w:rPr>
            </w:pPr>
            <w:r>
              <w:rPr>
                <w:rFonts w:hint="eastAsia"/>
              </w:rPr>
              <w:t>如：</w:t>
            </w:r>
            <w:r>
              <w:rPr>
                <w:rFonts w:hint="eastAsia"/>
              </w:rPr>
              <w:sym w:font="Wingdings" w:char="00FE"/>
            </w:r>
            <w:r>
              <w:rPr>
                <w:rFonts w:hint="eastAsia"/>
              </w:rPr>
              <w:t>管理手册9.1.1条款</w:t>
            </w:r>
            <w:r>
              <w:rPr>
                <w:rFonts w:hint="eastAsia"/>
                <w:lang w:eastAsia="zh-CN"/>
              </w:rPr>
              <w:t>、</w:t>
            </w:r>
            <w:r>
              <w:rPr/>
              <w:sym w:font="Wingdings" w:char="00FE"/>
            </w:r>
            <w:r>
              <w:rPr>
                <w:rFonts w:hint="eastAsia"/>
                <w:lang w:eastAsia="zh-CN"/>
              </w:rPr>
              <w:t>《</w:t>
            </w:r>
            <w:r>
              <w:rPr>
                <w:rFonts w:hint="eastAsia"/>
                <w:lang w:val="en-US" w:eastAsia="zh-CN"/>
              </w:rPr>
              <w:t>绩效监视和测量控制程序</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11"/>
                    </w:numPr>
                    <w:rPr>
                      <w:rFonts w:hint="eastAsia"/>
                      <w:szCs w:val="21"/>
                      <w:lang w:val="en-US" w:eastAsia="zh-CN"/>
                    </w:rPr>
                  </w:pPr>
                  <w:r>
                    <w:rPr>
                      <w:rFonts w:hint="eastAsia"/>
                      <w:szCs w:val="21"/>
                      <w:lang w:val="en-US" w:eastAsia="zh-CN"/>
                    </w:rPr>
                    <w:t>水质：学校管理，每年进行1次检测</w:t>
                  </w:r>
                </w:p>
                <w:p>
                  <w:pPr>
                    <w:numPr>
                      <w:ilvl w:val="0"/>
                      <w:numId w:val="11"/>
                    </w:numPr>
                    <w:rPr>
                      <w:rFonts w:hint="default" w:eastAsia="宋体"/>
                      <w:szCs w:val="21"/>
                      <w:lang w:val="en-US" w:eastAsia="zh-CN"/>
                    </w:rPr>
                  </w:pPr>
                  <w:r>
                    <w:rPr>
                      <w:rFonts w:hint="eastAsia"/>
                      <w:szCs w:val="21"/>
                      <w:lang w:val="en-US" w:eastAsia="zh-CN"/>
                    </w:rPr>
                    <w:t>餐食、餐具每年委托外部第三方进行检测</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eastAsia="宋体"/>
                      <w:szCs w:val="21"/>
                      <w:lang w:val="en-US" w:eastAsia="zh-CN"/>
                    </w:rPr>
                  </w:pPr>
                  <w:r>
                    <w:rPr>
                      <w:rFonts w:hint="eastAsia"/>
                      <w:szCs w:val="21"/>
                      <w:lang w:val="en-US" w:eastAsia="zh-CN"/>
                    </w:rPr>
                    <w:t>GB 5749-2006、GB14934</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2"/>
                  </w:pPr>
                  <w:r>
                    <w:rPr>
                      <w:rFonts w:hint="eastAsia" w:ascii="Segoe UI Emoji" w:hAnsi="Segoe UI Emoji" w:cs="Segoe UI Emoji"/>
                      <w:color w:val="000000"/>
                      <w:sz w:val="15"/>
                      <w:szCs w:val="15"/>
                      <w:lang w:eastAsia="zh-CN"/>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PRP/GHP、危害控制计划、操作规程、SSOP等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2"/>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2"/>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r>
              <w:rPr/>
              <w:sym w:font="Wingdings" w:char="00FE"/>
            </w:r>
            <w:r>
              <w:rPr>
                <w:rFonts w:hint="eastAsia"/>
                <w:lang w:eastAsia="zh-CN"/>
              </w:rPr>
              <w:t>《</w:t>
            </w:r>
            <w:r>
              <w:rPr>
                <w:rFonts w:hint="eastAsia"/>
                <w:lang w:val="en-US" w:eastAsia="zh-CN"/>
              </w:rPr>
              <w:t>绩效监视和测量控制程序</w:t>
            </w:r>
            <w:r>
              <w:rPr>
                <w:rFonts w:hint="eastAsia"/>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程序文件要求、法律法规要求</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程序文件、作业文件要求</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A3"/>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A3"/>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运行程序、作业文件</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auto"/>
          </w:tcPr>
          <w:p>
            <w:pPr>
              <w:rPr>
                <w:highlight w:val="none"/>
              </w:rPr>
            </w:pPr>
            <w:r>
              <w:rPr>
                <w:rFonts w:hint="eastAsia"/>
                <w:highlight w:val="none"/>
              </w:rPr>
              <w:t>管理评审</w:t>
            </w:r>
          </w:p>
          <w:p>
            <w:pPr>
              <w:rPr>
                <w:highlight w:val="none"/>
              </w:rPr>
            </w:pPr>
          </w:p>
        </w:tc>
        <w:tc>
          <w:tcPr>
            <w:tcW w:w="1040" w:type="dxa"/>
            <w:vMerge w:val="restart"/>
            <w:shd w:val="clear" w:color="auto" w:fill="auto"/>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管理评审记录（工作总结）</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管理评审纪要</w:t>
            </w:r>
            <w:r>
              <w:rPr>
                <w:rFonts w:hint="eastAsia"/>
                <w:color w:val="000000"/>
                <w:szCs w:val="21"/>
                <w:highlight w:val="none"/>
                <w:lang w:eastAsia="zh-CN"/>
              </w:rPr>
              <w:t>【</w:t>
            </w:r>
            <w:r>
              <w:rPr>
                <w:rFonts w:hint="eastAsia"/>
                <w:color w:val="000000"/>
                <w:szCs w:val="21"/>
                <w:highlight w:val="none"/>
                <w:lang w:val="en-US" w:eastAsia="zh-CN"/>
              </w:rPr>
              <w:t>管理评审输入及评审内容不充分，已现场沟通】</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rPr>
            </w:pPr>
            <w:r>
              <w:rPr>
                <w:rFonts w:hint="eastAsia"/>
              </w:rPr>
              <w:t>提交给最高管理者的信息的形式，应能使其理解所含信息与已声明的HACCP体系目标之间的关系。</w:t>
            </w:r>
          </w:p>
          <w:p>
            <w:pPr>
              <w:pStyle w:val="2"/>
              <w:rPr>
                <w:rFonts w:hint="eastAsia"/>
                <w:color w:val="0000FF"/>
                <w:u w:val="single"/>
                <w:lang w:val="en-US" w:eastAsia="zh-CN"/>
              </w:rPr>
            </w:pPr>
            <w:r>
              <w:rPr>
                <w:rFonts w:hint="eastAsia"/>
                <w:color w:val="0000FF"/>
                <w:u w:val="single"/>
                <w:lang w:val="en-US" w:eastAsia="zh-CN"/>
              </w:rPr>
              <w:t>经沟通了解，基本符合要求。</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0"/>
                    </w:numPr>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行政部做好质量、环境、职业健康安全、食品安全管理体系文件的培训、学习与知道，确保新进员工能熟练掌握有关操作要求</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12"/>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行政部做好质量、环境、职业健康安全、食品安全管理体系文件的培训、学习与知道，确保新进员工能熟练掌握有关操作要求</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13"/>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行政部做好质量、环境、职业健康安全、食品安全管理体系文件的培训、学习与知道，确保新进员工能熟练掌握有关操作要求</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bookmarkStart w:id="2" w:name="_GoBack"/>
                  <w:bookmarkEnd w:id="2"/>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14"/>
                    </w:numPr>
                    <w:spacing w:before="40"/>
                    <w:ind w:left="0" w:leftChars="0" w:firstLine="0" w:firstLine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行政部做好质量、环境、职业健康安全、食品安全管理体系文件的培训、学习与知道，确保新进员工能熟练掌握有关操作要求</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改进</w:t>
            </w:r>
          </w:p>
        </w:tc>
        <w:tc>
          <w:tcPr>
            <w:tcW w:w="104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default" w:eastAsia="宋体"/>
                <w:lang w:val="en-US" w:eastAsia="zh-CN"/>
              </w:rPr>
            </w:pPr>
            <w:r>
              <w:rPr>
                <w:rFonts w:hint="eastAsia"/>
                <w:lang w:val="en-US" w:eastAsia="zh-CN"/>
              </w:rPr>
              <w:t>改进</w:t>
            </w:r>
          </w:p>
        </w:tc>
        <w:tc>
          <w:tcPr>
            <w:tcW w:w="1040"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highlight w:val="none"/>
              </w:rPr>
              <w:sym w:font="Wingdings" w:char="00FE"/>
            </w:r>
            <w:r>
              <w:rPr>
                <w:rFonts w:hint="eastAsia"/>
                <w:highlight w:val="none"/>
                <w:lang w:val="en-US" w:eastAsia="zh-CN"/>
              </w:rPr>
              <w:t>纠正、</w:t>
            </w:r>
            <w:r>
              <w:rPr>
                <w:rFonts w:hint="eastAsia"/>
                <w:highlight w:val="none"/>
              </w:rPr>
              <w:sym w:font="Wingdings" w:char="00FE"/>
            </w:r>
            <w:r>
              <w:rPr>
                <w:rFonts w:hint="eastAsia"/>
                <w:highlight w:val="none"/>
                <w:lang w:val="en-US" w:eastAsia="zh-CN"/>
              </w:rPr>
              <w:t>纠正措施、</w:t>
            </w:r>
            <w:r>
              <w:rPr>
                <w:rFonts w:hint="eastAsia"/>
                <w:highlight w:val="none"/>
              </w:rPr>
              <w:sym w:font="Wingdings" w:char="00FE"/>
            </w:r>
            <w:r>
              <w:rPr>
                <w:rFonts w:hint="eastAsia"/>
                <w:highlight w:val="none"/>
                <w:lang w:val="en-US" w:eastAsia="zh-CN"/>
              </w:rPr>
              <w:t>持续改进、突破性变革、</w:t>
            </w:r>
            <w:r>
              <w:rPr>
                <w:rFonts w:hint="eastAsia"/>
                <w:highlight w:val="none"/>
              </w:rPr>
              <w:sym w:font="Wingdings" w:char="00FE"/>
            </w:r>
            <w:r>
              <w:rPr>
                <w:rFonts w:hint="eastAsia"/>
                <w:highlight w:val="none"/>
                <w:lang w:val="en-US" w:eastAsia="zh-CN"/>
              </w:rPr>
              <w:t xml:space="preserve">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持续改进</w:t>
            </w:r>
          </w:p>
        </w:tc>
        <w:tc>
          <w:tcPr>
            <w:tcW w:w="1040"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A8"/>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3"/>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lang w:val="en-US" w:eastAsia="zh-CN"/>
              </w:rPr>
              <w:t xml:space="preserve"> </w:t>
            </w:r>
            <w:r>
              <w:rPr>
                <w:rFonts w:hint="eastAsia"/>
                <w:color w:val="auto"/>
                <w:highlight w:val="none"/>
                <w:u w:val="single"/>
                <w:lang w:val="en-US" w:eastAsia="zh-CN"/>
              </w:rPr>
              <w:t xml:space="preserve">              </w:t>
            </w: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食品安全管理体系的更新</w:t>
            </w:r>
          </w:p>
          <w:p/>
        </w:tc>
        <w:tc>
          <w:tcPr>
            <w:tcW w:w="104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1"/>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随着HACCP体系转版进行更新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FD7ED"/>
    <w:multiLevelType w:val="singleLevel"/>
    <w:tmpl w:val="9B2FD7ED"/>
    <w:lvl w:ilvl="0" w:tentative="0">
      <w:start w:val="1"/>
      <w:numFmt w:val="decimal"/>
      <w:suff w:val="space"/>
      <w:lvlText w:val="%1."/>
      <w:lvlJc w:val="left"/>
    </w:lvl>
  </w:abstractNum>
  <w:abstractNum w:abstractNumId="1">
    <w:nsid w:val="A8314562"/>
    <w:multiLevelType w:val="singleLevel"/>
    <w:tmpl w:val="A8314562"/>
    <w:lvl w:ilvl="0" w:tentative="0">
      <w:start w:val="1"/>
      <w:numFmt w:val="decimal"/>
      <w:suff w:val="nothing"/>
      <w:lvlText w:val="%1）"/>
      <w:lvlJc w:val="left"/>
    </w:lvl>
  </w:abstractNum>
  <w:abstractNum w:abstractNumId="2">
    <w:nsid w:val="A8C87635"/>
    <w:multiLevelType w:val="singleLevel"/>
    <w:tmpl w:val="A8C87635"/>
    <w:lvl w:ilvl="0" w:tentative="0">
      <w:start w:val="1"/>
      <w:numFmt w:val="decimal"/>
      <w:suff w:val="space"/>
      <w:lvlText w:val="%1."/>
      <w:lvlJc w:val="left"/>
    </w:lvl>
  </w:abstractNum>
  <w:abstractNum w:abstractNumId="3">
    <w:nsid w:val="C22A6EF6"/>
    <w:multiLevelType w:val="singleLevel"/>
    <w:tmpl w:val="C22A6EF6"/>
    <w:lvl w:ilvl="0" w:tentative="0">
      <w:start w:val="1"/>
      <w:numFmt w:val="decimal"/>
      <w:suff w:val="space"/>
      <w:lvlText w:val="%1."/>
      <w:lvlJc w:val="left"/>
    </w:lvl>
  </w:abstractNum>
  <w:abstractNum w:abstractNumId="4">
    <w:nsid w:val="C3847AE1"/>
    <w:multiLevelType w:val="singleLevel"/>
    <w:tmpl w:val="C3847AE1"/>
    <w:lvl w:ilvl="0" w:tentative="0">
      <w:start w:val="1"/>
      <w:numFmt w:val="decimal"/>
      <w:suff w:val="nothing"/>
      <w:lvlText w:val="%1）"/>
      <w:lvlJc w:val="left"/>
    </w:lvl>
  </w:abstractNum>
  <w:abstractNum w:abstractNumId="5">
    <w:nsid w:val="D7A383CD"/>
    <w:multiLevelType w:val="singleLevel"/>
    <w:tmpl w:val="D7A383CD"/>
    <w:lvl w:ilvl="0" w:tentative="0">
      <w:start w:val="1"/>
      <w:numFmt w:val="decimal"/>
      <w:suff w:val="space"/>
      <w:lvlText w:val="%1."/>
      <w:lvlJc w:val="left"/>
    </w:lvl>
  </w:abstractNum>
  <w:abstractNum w:abstractNumId="6">
    <w:nsid w:val="D9157FF7"/>
    <w:multiLevelType w:val="singleLevel"/>
    <w:tmpl w:val="D9157FF7"/>
    <w:lvl w:ilvl="0" w:tentative="0">
      <w:start w:val="1"/>
      <w:numFmt w:val="lowerLetter"/>
      <w:suff w:val="space"/>
      <w:lvlText w:val="%1)"/>
      <w:lvlJc w:val="left"/>
    </w:lvl>
  </w:abstractNum>
  <w:abstractNum w:abstractNumId="7">
    <w:nsid w:val="DBA222D1"/>
    <w:multiLevelType w:val="singleLevel"/>
    <w:tmpl w:val="DBA222D1"/>
    <w:lvl w:ilvl="0" w:tentative="0">
      <w:start w:val="1"/>
      <w:numFmt w:val="decimal"/>
      <w:suff w:val="space"/>
      <w:lvlText w:val="%1."/>
      <w:lvlJc w:val="left"/>
    </w:lvl>
  </w:abstractNum>
  <w:abstractNum w:abstractNumId="8">
    <w:nsid w:val="E76061C7"/>
    <w:multiLevelType w:val="singleLevel"/>
    <w:tmpl w:val="E76061C7"/>
    <w:lvl w:ilvl="0" w:tentative="0">
      <w:start w:val="1"/>
      <w:numFmt w:val="decimal"/>
      <w:suff w:val="nothing"/>
      <w:lvlText w:val="%1）"/>
      <w:lvlJc w:val="left"/>
    </w:lvl>
  </w:abstractNum>
  <w:abstractNum w:abstractNumId="9">
    <w:nsid w:val="19E194F9"/>
    <w:multiLevelType w:val="singleLevel"/>
    <w:tmpl w:val="19E194F9"/>
    <w:lvl w:ilvl="0" w:tentative="0">
      <w:start w:val="1"/>
      <w:numFmt w:val="lowerLetter"/>
      <w:lvlText w:val="%1)"/>
      <w:lvlJc w:val="left"/>
      <w:pPr>
        <w:tabs>
          <w:tab w:val="left" w:pos="312"/>
        </w:tabs>
      </w:pPr>
    </w:lvl>
  </w:abstractNum>
  <w:abstractNum w:abstractNumId="10">
    <w:nsid w:val="4C00CF79"/>
    <w:multiLevelType w:val="singleLevel"/>
    <w:tmpl w:val="4C00CF79"/>
    <w:lvl w:ilvl="0" w:tentative="0">
      <w:start w:val="1"/>
      <w:numFmt w:val="decimal"/>
      <w:suff w:val="space"/>
      <w:lvlText w:val="%1."/>
      <w:lvlJc w:val="left"/>
    </w:lvl>
  </w:abstractNum>
  <w:abstractNum w:abstractNumId="11">
    <w:nsid w:val="4D003148"/>
    <w:multiLevelType w:val="singleLevel"/>
    <w:tmpl w:val="4D003148"/>
    <w:lvl w:ilvl="0" w:tentative="0">
      <w:start w:val="1"/>
      <w:numFmt w:val="decimal"/>
      <w:lvlText w:val="%1."/>
      <w:lvlJc w:val="left"/>
      <w:pPr>
        <w:tabs>
          <w:tab w:val="left" w:pos="312"/>
        </w:tabs>
      </w:pPr>
    </w:lvl>
  </w:abstractNum>
  <w:abstractNum w:abstractNumId="12">
    <w:nsid w:val="56645777"/>
    <w:multiLevelType w:val="singleLevel"/>
    <w:tmpl w:val="56645777"/>
    <w:lvl w:ilvl="0" w:tentative="0">
      <w:start w:val="1"/>
      <w:numFmt w:val="lowerLetter"/>
      <w:suff w:val="space"/>
      <w:lvlText w:val="%1）"/>
      <w:lvlJc w:val="left"/>
    </w:lvl>
  </w:abstractNum>
  <w:abstractNum w:abstractNumId="1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pStyle w:val="20"/>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8"/>
  </w:num>
  <w:num w:numId="3">
    <w:abstractNumId w:val="5"/>
  </w:num>
  <w:num w:numId="4">
    <w:abstractNumId w:val="7"/>
  </w:num>
  <w:num w:numId="5">
    <w:abstractNumId w:val="3"/>
  </w:num>
  <w:num w:numId="6">
    <w:abstractNumId w:val="4"/>
  </w:num>
  <w:num w:numId="7">
    <w:abstractNumId w:val="1"/>
  </w:num>
  <w:num w:numId="8">
    <w:abstractNumId w:val="9"/>
  </w:num>
  <w:num w:numId="9">
    <w:abstractNumId w:val="6"/>
  </w:num>
  <w:num w:numId="10">
    <w:abstractNumId w:val="12"/>
  </w:num>
  <w:num w:numId="11">
    <w:abstractNumId w:val="1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D43B87"/>
    <w:rsid w:val="09FA6045"/>
    <w:rsid w:val="0A0F142E"/>
    <w:rsid w:val="0A1C56C1"/>
    <w:rsid w:val="0A904067"/>
    <w:rsid w:val="0AB46EC8"/>
    <w:rsid w:val="0ACA6ED2"/>
    <w:rsid w:val="0AEF4D8D"/>
    <w:rsid w:val="0B8C3FEE"/>
    <w:rsid w:val="0BE64DF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873279"/>
    <w:rsid w:val="30945277"/>
    <w:rsid w:val="30C71DD4"/>
    <w:rsid w:val="30DC7CB1"/>
    <w:rsid w:val="30ED30CC"/>
    <w:rsid w:val="31064141"/>
    <w:rsid w:val="314F1BC2"/>
    <w:rsid w:val="31B477DB"/>
    <w:rsid w:val="31B67BE2"/>
    <w:rsid w:val="31CA71DD"/>
    <w:rsid w:val="31CC5E08"/>
    <w:rsid w:val="321B7CF6"/>
    <w:rsid w:val="324E5138"/>
    <w:rsid w:val="325251B2"/>
    <w:rsid w:val="32A772DD"/>
    <w:rsid w:val="32B72FA5"/>
    <w:rsid w:val="331E21CE"/>
    <w:rsid w:val="33562A0D"/>
    <w:rsid w:val="33715F28"/>
    <w:rsid w:val="337565DF"/>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400070"/>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9FF16A9"/>
    <w:rsid w:val="4A4A3523"/>
    <w:rsid w:val="4A7C70C3"/>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2236E94"/>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DCA10C0"/>
    <w:rsid w:val="6E641038"/>
    <w:rsid w:val="6EBD0EA6"/>
    <w:rsid w:val="6F391005"/>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28715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ind w:left="220"/>
    </w:pPr>
    <w:rPr>
      <w:rFonts w:ascii="宋体" w:hAnsi="宋体" w:eastAsia="宋体" w:cs="宋体"/>
      <w:sz w:val="24"/>
      <w:szCs w:val="24"/>
      <w:lang w:val="zh-CN" w:eastAsia="zh-CN" w:bidi="zh-CN"/>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firstLineChars="100"/>
    </w:pPr>
    <w:rPr>
      <w:szCs w:val="20"/>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qFormat/>
    <w:uiPriority w:val="99"/>
    <w:rPr>
      <w:rFonts w:ascii="Times New Roman" w:hAnsi="Times New Roman" w:eastAsia="宋体" w:cs="Times New Roman"/>
      <w:sz w:val="18"/>
      <w:szCs w:val="18"/>
    </w:rPr>
  </w:style>
  <w:style w:type="character" w:customStyle="1" w:styleId="16">
    <w:name w:val="页脚 字符"/>
    <w:basedOn w:val="14"/>
    <w:link w:val="7"/>
    <w:qFormat/>
    <w:uiPriority w:val="99"/>
    <w:rPr>
      <w:rFonts w:ascii="Times New Roman" w:hAnsi="Times New Roman" w:eastAsia="宋体" w:cs="Times New Roman"/>
      <w:sz w:val="18"/>
      <w:szCs w:val="18"/>
    </w:rPr>
  </w:style>
  <w:style w:type="character" w:customStyle="1" w:styleId="17">
    <w:name w:val="批注框文本 字符"/>
    <w:basedOn w:val="14"/>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三级条标题"/>
    <w:basedOn w:val="21"/>
    <w:next w:val="23"/>
    <w:qFormat/>
    <w:uiPriority w:val="0"/>
    <w:pPr>
      <w:numPr>
        <w:ilvl w:val="4"/>
        <w:numId w:val="1"/>
      </w:numPr>
      <w:outlineLvl w:val="4"/>
    </w:pPr>
  </w:style>
  <w:style w:type="paragraph" w:customStyle="1" w:styleId="21">
    <w:name w:val="二级条标题"/>
    <w:basedOn w:val="22"/>
    <w:next w:val="23"/>
    <w:qFormat/>
    <w:uiPriority w:val="0"/>
    <w:pPr>
      <w:numPr>
        <w:ilvl w:val="3"/>
        <w:numId w:val="1"/>
      </w:numPr>
      <w:outlineLvl w:val="3"/>
    </w:pPr>
  </w:style>
  <w:style w:type="paragraph" w:customStyle="1" w:styleId="22">
    <w:name w:val="一级条标题"/>
    <w:next w:val="2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17479</Words>
  <Characters>19047</Characters>
  <Lines>79</Lines>
  <Paragraphs>22</Paragraphs>
  <TotalTime>5</TotalTime>
  <ScaleCrop>false</ScaleCrop>
  <LinksUpToDate>false</LinksUpToDate>
  <CharactersWithSpaces>20467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2022-08-09T08:38:29Z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11C484B161C942D78A603EAF5EE88846</vt:lpwstr>
  </property>
</Properties>
</file>