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8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山东简聘餐饮管理有限公司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山东省济南市槐荫区时代佳苑沿街8号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济南市市中区济微路389号山东力明技工学校食堂1楼三餐厅（山东简聘餐饮管理有限公司承包）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刘东东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18678886075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4" w:name="最高管理者"/>
            <w:bookmarkEnd w:id="4"/>
            <w:r>
              <w:rPr>
                <w:sz w:val="21"/>
                <w:szCs w:val="21"/>
              </w:rPr>
              <w:t>刘东东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总经理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  <w:r>
              <w:rPr>
                <w:sz w:val="21"/>
                <w:szCs w:val="21"/>
              </w:rPr>
              <w:t>18678886075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shandongjianpin@126.com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0376-2021-QEOFH-2022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/>
                <w:color w:val="FF0000"/>
                <w:lang w:val="en-US" w:eastAsia="zh-CN"/>
              </w:rPr>
              <w:t>+恢复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 □扩项审核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其他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(HACCP转版）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监督审核1次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Q：餐饮管理服务（热食类食品制售）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E：餐饮管理服务（热食类食品制售）所涉及场所的相关环境管理活动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O：餐饮管理服务（热食类食品制售）所涉及场所的相关职业健康安全管理活动</w:t>
            </w:r>
          </w:p>
          <w:bookmarkEnd w:id="23"/>
          <w:p>
            <w:pPr>
              <w:rPr>
                <w:sz w:val="20"/>
              </w:rPr>
            </w:pPr>
            <w:r>
              <w:rPr>
                <w:sz w:val="20"/>
              </w:rPr>
              <w:t>F：位于</w:t>
            </w:r>
            <w:r>
              <w:rPr>
                <w:rFonts w:hint="eastAsia"/>
                <w:sz w:val="20"/>
                <w:lang w:val="en-US" w:eastAsia="zh-CN"/>
              </w:rPr>
              <w:t>济南市市中区济微路389号山东力明技工学校食堂1楼三餐厅（山东简聘餐饮管理有限公司承包）</w:t>
            </w:r>
            <w:r>
              <w:rPr>
                <w:sz w:val="20"/>
              </w:rPr>
              <w:t>的餐饮管理服务（热食类食品制售）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H：位于</w:t>
            </w:r>
            <w:r>
              <w:rPr>
                <w:rFonts w:hint="eastAsia"/>
                <w:sz w:val="20"/>
                <w:lang w:val="en-US" w:eastAsia="zh-CN"/>
              </w:rPr>
              <w:t>济南市市中区济微路389号山东力明技工学校食堂1楼三餐厅（山东简聘餐饮管理有限公司承包）</w:t>
            </w:r>
            <w:r>
              <w:rPr>
                <w:sz w:val="20"/>
              </w:rPr>
              <w:t>的餐饮管理服务（热食类食品制售）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F：E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H：E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危害分析与关键控制点（HACCP体系）认证要求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V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2022年08月04日 上午至2022年08月06日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3.0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肖新龙</w:t>
            </w:r>
            <w:r>
              <w:rPr>
                <w:rFonts w:hint="eastAsia"/>
                <w:sz w:val="20"/>
                <w:lang w:val="en-US" w:eastAsia="zh-CN"/>
              </w:rPr>
              <w:t>-A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任泽华</w:t>
            </w:r>
            <w:r>
              <w:rPr>
                <w:rFonts w:hint="eastAsia"/>
                <w:sz w:val="20"/>
                <w:lang w:val="en-US" w:eastAsia="zh-CN"/>
              </w:rPr>
              <w:t>-B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2022-N1QMS-4059498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2021-N1EMS-3059498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vAlign w:val="center"/>
          </w:tcPr>
          <w:p/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10" w:type="dxa"/>
            <w:gridSpan w:val="4"/>
            <w:vAlign w:val="center"/>
          </w:tcPr>
          <w:p/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172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2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tbl>
      <w:tblPr>
        <w:tblStyle w:val="6"/>
        <w:tblW w:w="10365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11"/>
        <w:gridCol w:w="810"/>
        <w:gridCol w:w="3921"/>
        <w:gridCol w:w="2550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6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日期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时间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部门</w:t>
            </w:r>
          </w:p>
        </w:tc>
        <w:tc>
          <w:tcPr>
            <w:tcW w:w="392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过程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涉及条款</w:t>
            </w: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2022-0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8-04全天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第一天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ind w:firstLine="180" w:firstLineChars="100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8：30-9:00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21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首次会议</w:t>
            </w:r>
          </w:p>
        </w:tc>
        <w:tc>
          <w:tcPr>
            <w:tcW w:w="255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ind w:firstLine="180" w:firstLineChars="100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9:00-9:30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领导层及各部门</w:t>
            </w:r>
          </w:p>
        </w:tc>
        <w:tc>
          <w:tcPr>
            <w:tcW w:w="3921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证书恢复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确认内容：企业执行相关法律法规及其他要求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的能力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国家对企业质量、环境、安全监督抽查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情况、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重大质量环境安全事故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主管部门处罚、通报发生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情况、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体系运行正常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情况、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组织发生重大变化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情况、暂停期间证书使用情况、重大服务投诉情况等</w:t>
            </w:r>
          </w:p>
        </w:tc>
        <w:tc>
          <w:tcPr>
            <w:tcW w:w="2550" w:type="dxa"/>
            <w:shd w:val="clear" w:color="auto" w:fill="auto"/>
          </w:tcPr>
          <w:p>
            <w:pPr>
              <w:spacing w:line="30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证书暂停恢复的各项要求</w:t>
            </w: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9:30-11:30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</w:rPr>
              <w:t>领导层</w:t>
            </w:r>
          </w:p>
        </w:tc>
        <w:tc>
          <w:tcPr>
            <w:tcW w:w="3921" w:type="dxa"/>
            <w:shd w:val="clear" w:color="auto" w:fill="auto"/>
          </w:tcPr>
          <w:p>
            <w:pPr>
              <w:spacing w:line="300" w:lineRule="exact"/>
              <w:rPr>
                <w:rFonts w:hint="eastAsia" w:eastAsia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</w:rPr>
              <w:t>总要求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内外部环境、相关方需求和期望识别、合规义务、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方针和目标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管理体系范围、管理体系及其过程、领导作用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与承诺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、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岗位和职责、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管理方针、管理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目标及其实现的策划、风险和机遇识别及应对措施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风险和机遇识别及应对措施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总则EO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】、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变更的策划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应急准备和响应、资源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/资源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总则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】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、沟通、食品安全文化、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文件化信息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总则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】、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运行策划和控制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监视测量分析和评价（总则）、内部审核、管理评审、改进（总则）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持续改进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18"/>
                <w:szCs w:val="18"/>
              </w:rPr>
              <w:t>、食品安全管理体系的更新</w:t>
            </w:r>
          </w:p>
          <w:p>
            <w:pPr>
              <w:pStyle w:val="2"/>
              <w:rPr>
                <w:rFonts w:hint="default" w:eastAsia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初审不符合项验证、资质证书使用情况、重大投诉、食品安全事故等</w:t>
            </w:r>
          </w:p>
        </w:tc>
        <w:tc>
          <w:tcPr>
            <w:tcW w:w="2550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Q: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4.1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-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4.4/5.1/5.2/5.3/6.1/6.2/6.3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7.1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.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1/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7.4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7.5.1/8.1/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9.1.1/9.2/9.3/10.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10.3</w:t>
            </w:r>
          </w:p>
          <w:p>
            <w:pPr>
              <w:spacing w:line="300" w:lineRule="exact"/>
              <w:rPr>
                <w:rFonts w:hint="default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E: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4.1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-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4.4/5.1/5.2/5.3/6.1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.1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/6.2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7.1/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7.4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7.5.1/8.2/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9.1.1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/9.3/10.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10.3</w:t>
            </w:r>
          </w:p>
          <w:p>
            <w:pPr>
              <w:spacing w:line="300" w:lineRule="exact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OHS: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4.1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-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4.4/5.1/5.2/5.3/6.1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.1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/6.2/7.1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.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1/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7.4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7.5.1/8.2/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9.1.1/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9.3/10.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10.3</w:t>
            </w:r>
          </w:p>
          <w:p>
            <w:pPr>
              <w:spacing w:line="300" w:lineRule="exact"/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</w:rPr>
              <w:t>F:4.1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-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4.4/5.1/5.2/5.3/6.1/6.2/6.3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7.1/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7.4/7.5.1/8.1/8.4/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9.1.1/9.3/10.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10.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H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/1.2.1/1.2.2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/2.1-2.5/</w:t>
            </w:r>
          </w:p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3.1/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3.13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/5.4/5.5</w:t>
            </w: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A:OH</w:t>
            </w:r>
          </w:p>
          <w:p>
            <w:pPr>
              <w:pStyle w:val="2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B:QEF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11:30-12:30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员工代表</w:t>
            </w:r>
          </w:p>
        </w:tc>
        <w:tc>
          <w:tcPr>
            <w:tcW w:w="3921" w:type="dxa"/>
            <w:shd w:val="clear" w:color="auto" w:fill="auto"/>
          </w:tcPr>
          <w:p>
            <w:pPr>
              <w:pStyle w:val="2"/>
              <w:rPr>
                <w:rFonts w:hint="default" w:eastAsia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健康安全事务参与情况，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事故调查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沟通事故调查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沟通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应急准备和相应</w:t>
            </w:r>
          </w:p>
        </w:tc>
        <w:tc>
          <w:tcPr>
            <w:tcW w:w="2550" w:type="dxa"/>
            <w:shd w:val="clear" w:color="auto" w:fill="auto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O: 5.4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10.2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/7.4.2/8.2</w:t>
            </w: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11:30-12:30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财务</w:t>
            </w:r>
          </w:p>
        </w:tc>
        <w:tc>
          <w:tcPr>
            <w:tcW w:w="392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资源提供、应急准备和响应、事件和不符合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EMS: 7.1/8.2/10.2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OHS: 7.1/8.2/10.2</w:t>
            </w: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A:O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92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13：00-17：00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</w:rPr>
              <w:t>食品安全小组/HACCP小组</w:t>
            </w:r>
          </w:p>
        </w:tc>
        <w:tc>
          <w:tcPr>
            <w:tcW w:w="3921" w:type="dxa"/>
            <w:shd w:val="clear" w:color="auto" w:fill="auto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</w:rPr>
              <w:t>食品安全小组/HACCP组长及职责、</w:t>
            </w:r>
            <w:r>
              <w:rPr>
                <w:rFonts w:ascii="CIDFont" w:hAnsi="CIDFont" w:eastAsia="CIDFont" w:cs="CIDFont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外部开发的食品安全管理体系要素</w:t>
            </w:r>
            <w:r>
              <w:rPr>
                <w:rFonts w:hint="eastAsia" w:ascii="CIDFont" w:hAnsi="CIDFont" w:eastAsia="CIDFont" w:cs="CIDFont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</w:t>
            </w:r>
          </w:p>
        </w:tc>
        <w:tc>
          <w:tcPr>
            <w:tcW w:w="2550" w:type="dxa"/>
            <w:shd w:val="clear" w:color="auto" w:fill="auto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sz w:val="18"/>
                <w:szCs w:val="18"/>
              </w:rPr>
              <w:t>F: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18"/>
                <w:szCs w:val="18"/>
              </w:rPr>
              <w:t>.3/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7.1.5/8.2/8.3/8.5/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18"/>
                <w:szCs w:val="18"/>
              </w:rPr>
              <w:t>8.6/8.8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</w:rPr>
              <w:t>H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</w:rPr>
              <w:t>2.5.1/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3.7/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18"/>
                <w:szCs w:val="18"/>
              </w:rPr>
              <w:t>3.10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3.11/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18"/>
                <w:szCs w:val="18"/>
              </w:rPr>
              <w:t>3.12/4.1-4.6</w:t>
            </w: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</w:rPr>
              <w:t>：H</w:t>
            </w:r>
          </w:p>
          <w:p>
            <w:pPr>
              <w:snapToGrid w:val="0"/>
              <w:spacing w:line="320" w:lineRule="exac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：F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21" w:type="dxa"/>
            <w:shd w:val="clear" w:color="auto" w:fill="auto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审核结束（8h）</w:t>
            </w:r>
          </w:p>
        </w:tc>
        <w:tc>
          <w:tcPr>
            <w:tcW w:w="255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2022-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08-05日全天</w:t>
            </w: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第二天</w:t>
            </w:r>
          </w:p>
        </w:tc>
        <w:tc>
          <w:tcPr>
            <w:tcW w:w="810" w:type="dxa"/>
            <w:shd w:val="clear" w:color="auto" w:fill="auto"/>
          </w:tcPr>
          <w:p>
            <w:pPr>
              <w:rPr>
                <w:rFonts w:ascii="楷体_GB2312" w:eastAsia="楷体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21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9:30-12:30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行政部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部门职责、目标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、人员、能力、意识、沟通、持证上岗人员、健康证、文件和记录管理、组织的知识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b w:val="0"/>
                <w:bCs w:val="0"/>
                <w:sz w:val="18"/>
                <w:szCs w:val="18"/>
              </w:rPr>
              <w:t>环境因素识别和危险源辨识和评价，合规性评价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b w:val="0"/>
                <w:bCs w:val="0"/>
                <w:sz w:val="18"/>
                <w:szCs w:val="18"/>
              </w:rPr>
              <w:t>目标指标和管理方案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分析和评估、环境因素、合规义务/法律法规要求和其他要求的确定、危险源辨识及风险和机遇的评价、措施的策划、环境和职业健康运行的策划和控制、应急准备和响应【EO】、内部审核、事件不符合和纠正措施，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辅助设施（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适用时，可包括</w:t>
            </w:r>
            <w:r>
              <w:rPr>
                <w:b w:val="0"/>
                <w:bCs w:val="0"/>
                <w:sz w:val="18"/>
                <w:szCs w:val="18"/>
              </w:rPr>
              <w:t>车辆控制、食堂、保洁、门卫）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Q：5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.3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/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6.2/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7.1.2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/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7.1.6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7.2/7.3/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>7.4/7.5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.2/7.5.3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9.2/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18"/>
                <w:szCs w:val="18"/>
                <w:highlight w:val="none"/>
              </w:rPr>
              <w:t>9.1.3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>F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：5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.3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/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6.2/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7.1.2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/7.2/7.3/7.4/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>7.5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.2/7.5.3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9.2/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18"/>
                <w:szCs w:val="18"/>
                <w:highlight w:val="none"/>
              </w:rPr>
              <w:t>9.1.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2/10.1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>H:1.2.3/1.2.4/2.4.2/2.5.1/2.5.2.1/3.2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/5.1/5.3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E: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5.3/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6.1.2/6.1.3/6.1.4/6.2/8.1/8.2/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9.1.1/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9.1.2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/9.2/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10.2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O: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5.3/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6.1.2/6.1.3/6.1.4/6.2/8.1/8.2/9.1.2/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9.2/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10.2</w:t>
            </w: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eastAsia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>A:EOH</w:t>
            </w:r>
          </w:p>
          <w:p>
            <w:pPr>
              <w:pStyle w:val="2"/>
              <w:rPr>
                <w:rFonts w:hint="default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>B:QF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>
            <w:pPr>
              <w:pStyle w:val="2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13:00-18:00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餐饮部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</w:rPr>
              <w:t>及现场</w:t>
            </w:r>
          </w:p>
        </w:tc>
        <w:tc>
          <w:tcPr>
            <w:tcW w:w="392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 w:cs="Times New Roman" w:asciiTheme="minorEastAsia" w:hAnsiTheme="minorEastAsia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部门职责、目标管理、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前提方案/良好卫生规范现场情况、基础设施、工作环境、标识和追溯/可追溯性、产品撤回/召回、生产和服务提供、产品防护、顾客财产、产品和服务的设计和开发、</w:t>
            </w:r>
            <w:r>
              <w:rPr>
                <w:rFonts w:hint="default"/>
                <w:b w:val="0"/>
                <w:bCs w:val="0"/>
                <w:sz w:val="18"/>
                <w:szCs w:val="18"/>
                <w:lang w:eastAsia="zh-CN"/>
              </w:rPr>
              <w:t>oprp/ccp</w:t>
            </w:r>
            <w:r>
              <w:rPr>
                <w:b w:val="0"/>
                <w:bCs w:val="0"/>
                <w:sz w:val="18"/>
                <w:szCs w:val="18"/>
                <w:lang w:eastAsia="zh-CN"/>
              </w:rPr>
              <w:t>的实施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致敏物管理、食品防护、</w:t>
            </w:r>
            <w:r>
              <w:rPr>
                <w:b w:val="0"/>
                <w:bCs w:val="0"/>
                <w:sz w:val="18"/>
                <w:szCs w:val="18"/>
              </w:rPr>
              <w:t>监视和测量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资源</w:t>
            </w:r>
            <w:r>
              <w:rPr>
                <w:b w:val="0"/>
                <w:bCs w:val="0"/>
                <w:sz w:val="18"/>
                <w:szCs w:val="18"/>
              </w:rPr>
              <w:t>的控制、产品放行、不合格品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的控制</w:t>
            </w:r>
            <w:r>
              <w:rPr>
                <w:b w:val="0"/>
                <w:bCs w:val="0"/>
                <w:sz w:val="18"/>
                <w:szCs w:val="18"/>
              </w:rPr>
              <w:t>/产品和过程的不合格项控制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环境因素识别及控制、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危险源识别及控制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现场运行控制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EO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应急准备和响应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:5.3/6.2/7.1.3/7.1.4/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7.1.5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/8.3/8.5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.1/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.2/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.3/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.4/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.6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/8.6/8.7</w:t>
            </w:r>
          </w:p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F:5.3/6.2/7.1.3/7.1.4/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  <w:t>8.2/8.3/8.4/8.5.4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8.7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8.9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.1-8.9.4</w:t>
            </w:r>
            <w:r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8.9.5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  <w:t>H:2.4.2/2.5.1/3.3/</w:t>
            </w:r>
            <w:r>
              <w:rPr>
                <w:rFonts w:hint="eastAsia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3.4/3.6/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  <w:t>3.7/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3.8/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  <w:t>3.9/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3.10/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  <w:t>3.11/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3.13/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  <w:t>4.3.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/5.1.1-5.1.3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E: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6.1.2/6.1.4/6.2/8.1/8.2</w:t>
            </w:r>
          </w:p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6.1.2/6.1.4/6.2/8.1/8.2</w:t>
            </w: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A:EOH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B:QF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18:00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921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第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天结束（8h）</w:t>
            </w:r>
          </w:p>
        </w:tc>
        <w:tc>
          <w:tcPr>
            <w:tcW w:w="2550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2022-0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06全天</w:t>
            </w: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第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天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921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8:00-12:00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餐饮部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</w:rPr>
              <w:t>及现场</w:t>
            </w:r>
          </w:p>
        </w:tc>
        <w:tc>
          <w:tcPr>
            <w:tcW w:w="392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 w:cs="Times New Roman" w:asciiTheme="minorEastAsia" w:hAnsiTheme="minorEastAsia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部门职责、目标管理、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前提方案/良好卫生规范现场情况、基础设施、工作环境、标识和追溯/可追溯性、产品撤回/召回、生产和服务提供、产品防护、顾客财产、产品和服务的设计和开发、</w:t>
            </w:r>
            <w:r>
              <w:rPr>
                <w:rFonts w:hint="default"/>
                <w:b w:val="0"/>
                <w:bCs w:val="0"/>
                <w:sz w:val="18"/>
                <w:szCs w:val="18"/>
                <w:lang w:eastAsia="zh-CN"/>
              </w:rPr>
              <w:t>oprp/ccp</w:t>
            </w:r>
            <w:r>
              <w:rPr>
                <w:b w:val="0"/>
                <w:bCs w:val="0"/>
                <w:sz w:val="18"/>
                <w:szCs w:val="18"/>
                <w:lang w:eastAsia="zh-CN"/>
              </w:rPr>
              <w:t>的实施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致敏物管理、食品防护、</w:t>
            </w:r>
            <w:r>
              <w:rPr>
                <w:b w:val="0"/>
                <w:bCs w:val="0"/>
                <w:sz w:val="18"/>
                <w:szCs w:val="18"/>
              </w:rPr>
              <w:t>监视和测量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资源</w:t>
            </w:r>
            <w:r>
              <w:rPr>
                <w:b w:val="0"/>
                <w:bCs w:val="0"/>
                <w:sz w:val="18"/>
                <w:szCs w:val="18"/>
              </w:rPr>
              <w:t>的控制、产品放行、不合格品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的控制</w:t>
            </w:r>
            <w:r>
              <w:rPr>
                <w:b w:val="0"/>
                <w:bCs w:val="0"/>
                <w:sz w:val="18"/>
                <w:szCs w:val="18"/>
              </w:rPr>
              <w:t>/产品和过程的不合格项控制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环境因素识别及控制、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危险源识别及控制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现场运行控制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EO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应急准备和响应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——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:5.3/6.2/7.1.3/7.1.4/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7.1.5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/8.3/8.5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.1/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.2/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.3/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.4/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.6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/8.6/8.7</w:t>
            </w:r>
          </w:p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F:5.3/6.2/7.1.3/7.1.4/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  <w:t>8.2/8.3/8.4/8.5.4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8.7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8.9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.1-8.9.4</w:t>
            </w:r>
            <w:r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8.9.5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  <w:t>H:2.4.2/2.5.1/3.3/</w:t>
            </w:r>
            <w:r>
              <w:rPr>
                <w:rFonts w:hint="eastAsia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3.4/3.6/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  <w:t>3.7/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3.8/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  <w:t>3.9/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3.10/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  <w:t>3.11/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3.13/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  <w:t>4.3.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/5.1.1-5.1.3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E: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6.1.2/6.1.4/6.2/8.1/8.2</w:t>
            </w:r>
          </w:p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6.1.2/6.1.4/6.2/8.1/8.2</w:t>
            </w: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A:EOH</w:t>
            </w:r>
          </w:p>
          <w:p>
            <w:pPr>
              <w:pStyle w:val="2"/>
              <w:rPr>
                <w:rFonts w:hint="default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B:QF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12:30-15:30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运营部</w:t>
            </w:r>
          </w:p>
        </w:tc>
        <w:tc>
          <w:tcPr>
            <w:tcW w:w="392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楷体_GB2312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</w:rPr>
              <w:t>职责和权限、目标管理、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环境因素识别及控制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</w:rPr>
              <w:t>危险源识别评价和控制，现场运行情况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(EO)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措施的策划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</w:rPr>
              <w:t>，前提方案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供应商管理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</w:rPr>
              <w:t>，采购管理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/外部提供的过程产品及服务的控制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</w:rPr>
              <w:t>产品服务的要求、与顾客有关的过程、交付及交付后活动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投诉处理、食品欺诈预防、顾客满意、应急准备和响应、撤回召回情况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  <w:highlight w:val="none"/>
              </w:rPr>
              <w:t>Q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highlight w:val="none"/>
              </w:rPr>
              <w:t>: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5.3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6.2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/7.4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/8.2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8.4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8.5.5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/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9.1.2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  <w:highlight w:val="none"/>
              </w:rPr>
              <w:t>F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highlight w:val="none"/>
              </w:rPr>
              <w:t>: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5.3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6.2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8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.2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7.1.6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/8.9.5</w:t>
            </w:r>
          </w:p>
          <w:p>
            <w:pPr>
              <w:spacing w:line="240" w:lineRule="auto"/>
              <w:rPr>
                <w:rFonts w:hint="default" w:eastAsia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  <w:highlight w:val="none"/>
              </w:rPr>
              <w:t>O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highlight w:val="none"/>
              </w:rPr>
              <w:t>: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5.3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6.1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.2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6.1.4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6.2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8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.1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/8.2</w:t>
            </w:r>
          </w:p>
          <w:p>
            <w:pPr>
              <w:spacing w:line="240" w:lineRule="auto"/>
              <w:rPr>
                <w:rFonts w:hint="default" w:eastAsia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E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highlight w:val="none"/>
              </w:rPr>
              <w:t>: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5.3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6.1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.2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6.1.4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6.2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8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.1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/8.2</w:t>
            </w:r>
          </w:p>
          <w:p>
            <w:pPr>
              <w:spacing w:line="240" w:lineRule="auto"/>
              <w:rPr>
                <w:rFonts w:hint="default" w:ascii="楷体_GB2312" w:hAnsi="Times New Roman" w:eastAsia="宋体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H：2.4.2/2.5.1/3.5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3.12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/5.2</w:t>
            </w: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bookmarkStart w:id="35" w:name="_GoBack"/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>A:OH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>B：QFE</w:t>
            </w:r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15:30-16:00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92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审核组内部沟通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审核组整理材料</w:t>
            </w:r>
          </w:p>
          <w:p>
            <w:pPr>
              <w:widowControl/>
              <w:jc w:val="left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审核组与企业领导、管代沟通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5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16:00-16:30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92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末次会议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default" w:ascii="楷体_GB2312" w:hAnsi="Times New Roman" w:eastAsia="宋体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6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16：30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921" w:type="dxa"/>
            <w:shd w:val="clear" w:color="auto" w:fill="auto"/>
          </w:tcPr>
          <w:p>
            <w:pPr>
              <w:spacing w:line="300" w:lineRule="exact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第三天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审核结束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8h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550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AB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48D011C"/>
    <w:rsid w:val="05E027BE"/>
    <w:rsid w:val="0C6C47D2"/>
    <w:rsid w:val="0CCD0859"/>
    <w:rsid w:val="1B61715C"/>
    <w:rsid w:val="25BA1FC8"/>
    <w:rsid w:val="315C3A85"/>
    <w:rsid w:val="3A504977"/>
    <w:rsid w:val="3B715A4A"/>
    <w:rsid w:val="4B20746B"/>
    <w:rsid w:val="4FA70EC5"/>
    <w:rsid w:val="56C2466B"/>
    <w:rsid w:val="629306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3019</Words>
  <Characters>5083</Characters>
  <Lines>37</Lines>
  <Paragraphs>10</Paragraphs>
  <TotalTime>1</TotalTime>
  <ScaleCrop>false</ScaleCrop>
  <LinksUpToDate>false</LinksUpToDate>
  <CharactersWithSpaces>5361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2022-08-05T12:57:03Z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