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东莞市共赢环保设备有限公司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21645-2025-QEO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东莞市横沥镇田头村东兴路29号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广东省东莞市石碣镇横滘村富祥街2号二楼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东莞市中医院二区改扩建项目(伤科研究中心)项目 大桥村沙泉路东莞市中医院南门入口旁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寇玲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18922915550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2907741862@qq.com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2025年12月17日 08:30至2025年12月17日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E:太阳能热水器、空气能热泵的生产、销售、和维修所涉及场所的相关环境管理活动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Q:太阳能热水器、空气能热泵的生产、销售、和维修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O:太阳能热水器、空气能热泵的生产、销售、和维修所涉及场所的相关职业健康安全管理活动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E:18.02.05,18.08.00,19.13.02,19.16.00,29.10.07,Q:18.02.05,18.08.00,19.13.02,19.16.00,29.10.07,O:18.02.05,18.08.00,19.13.02,19.16.00,29.10.07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2024-N1EMS-3100803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18.02.05,18.08.00,19.13.02,19.16.00,29.10.07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15291351215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18.02.05,18.08.00,19.13.02,19.16.00,29.10.07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18.02.05,18.08.00,19.13.02,19.16.00,29.10.07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3483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王敏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5282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