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主管领导：张列振、卢新涛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陪同人员：李红芹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ascii="宋体" w:hAnsi="宋体" w:cs="Arial"/>
                <w:spacing w:val="-6"/>
                <w:szCs w:val="21"/>
              </w:rPr>
              <w:t xml:space="preserve">汪桂丽、王明国 </w:t>
            </w:r>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.7.</w:t>
            </w:r>
            <w:r>
              <w:rPr>
                <w:rFonts w:hint="eastAsia" w:cs="宋体" w:asciiTheme="minorEastAsia" w:hAnsiTheme="minorEastAsia" w:eastAsiaTheme="minorEastAsia"/>
                <w:sz w:val="24"/>
                <w:szCs w:val="24"/>
                <w:lang w:val="en-US" w:eastAsia="zh-CN"/>
              </w:rPr>
              <w:t>2</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ascii="宋体" w:hAnsi="宋体" w:cs="Arial"/>
                <w:spacing w:val="-6"/>
                <w:szCs w:val="21"/>
              </w:rPr>
            </w:pPr>
            <w:r>
              <w:rPr>
                <w:rFonts w:hint="eastAsia" w:asciiTheme="minorEastAsia" w:hAnsiTheme="minorEastAsia" w:eastAsiaTheme="minorEastAsia"/>
                <w:color w:val="000000"/>
                <w:szCs w:val="21"/>
              </w:rPr>
              <w:t>涉及标准条款：</w:t>
            </w:r>
            <w:r>
              <w:rPr>
                <w:rFonts w:hint="eastAsia" w:ascii="宋体" w:hAnsi="宋体" w:cs="Arial"/>
                <w:spacing w:val="-6"/>
                <w:szCs w:val="21"/>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持续改进；</w:t>
            </w:r>
          </w:p>
          <w:p>
            <w:pPr>
              <w:ind w:firstLine="396" w:firstLineChars="200"/>
              <w:jc w:val="left"/>
              <w:rPr>
                <w:rFonts w:cs="宋体" w:asciiTheme="minorEastAsia" w:hAnsiTheme="minorEastAsia" w:eastAsiaTheme="minorEastAsia"/>
                <w:sz w:val="24"/>
                <w:szCs w:val="24"/>
              </w:rPr>
            </w:pPr>
            <w:r>
              <w:rPr>
                <w:rFonts w:hint="eastAsia" w:ascii="宋体" w:hAnsi="宋体" w:cs="Arial"/>
                <w:spacing w:val="-6"/>
                <w:szCs w:val="21"/>
              </w:rPr>
              <w:t>国家/地方监督抽查情况；顾客满意、相关方投诉及处理情况；</w:t>
            </w:r>
            <w:r>
              <w:rPr>
                <w:rFonts w:hint="eastAsia" w:ascii="宋体" w:hAnsi="宋体" w:cs="Arial"/>
                <w:spacing w:val="-6"/>
                <w:szCs w:val="21"/>
                <w:lang w:val="en-US" w:eastAsia="zh-CN"/>
              </w:rPr>
              <w:t>前期</w:t>
            </w:r>
            <w:r>
              <w:rPr>
                <w:rFonts w:hint="eastAsia" w:ascii="宋体" w:hAnsi="宋体" w:cs="Arial"/>
                <w:spacing w:val="-6"/>
                <w:szCs w:val="21"/>
              </w:rPr>
              <w:t>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w:t>
            </w:r>
            <w:r>
              <w:rPr>
                <w:rFonts w:hint="eastAsia" w:cs="宋体" w:asciiTheme="minorEastAsia" w:hAnsiTheme="minorEastAsia" w:eastAsiaTheme="minorEastAsia"/>
                <w:szCs w:val="21"/>
                <w:lang w:val="en-US" w:eastAsia="zh-CN"/>
              </w:rPr>
              <w:t>2018年5月23日至长期</w:t>
            </w:r>
            <w:r>
              <w:rPr>
                <w:rFonts w:hint="eastAsia" w:cs="宋体" w:asciiTheme="minorEastAsia" w:hAnsiTheme="minorEastAsia" w:eastAsiaTheme="minorEastAsia"/>
                <w:szCs w:val="21"/>
              </w:rPr>
              <w:t>，经营地址与审计计划地址和实际一致，包含认证范围，提供更生物资回收经营者备案登记证明001</w:t>
            </w:r>
            <w:r>
              <w:rPr>
                <w:rFonts w:cs="宋体" w:asciiTheme="minorEastAsia" w:hAnsiTheme="minorEastAsia" w:eastAsiaTheme="minorEastAsia"/>
                <w:szCs w:val="21"/>
              </w:rPr>
              <w:t>，</w:t>
            </w:r>
            <w:r>
              <w:rPr>
                <w:rFonts w:hint="eastAsia" w:cs="宋体" w:asciiTheme="minorEastAsia" w:hAnsiTheme="minorEastAsia" w:eastAsiaTheme="minorEastAsia"/>
                <w:szCs w:val="21"/>
              </w:rPr>
              <w:t>时间2018年8月31日。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40" w:lineRule="exact"/>
              <w:ind w:firstLine="420" w:firstLineChars="200"/>
              <w:rPr>
                <w:rFonts w:hint="eastAsia" w:cs="宋体" w:asciiTheme="minorEastAsia" w:hAnsiTheme="minorEastAsia" w:eastAsiaTheme="minorEastAsia"/>
                <w:szCs w:val="21"/>
              </w:rPr>
            </w:pPr>
            <w:bookmarkStart w:id="0" w:name="审核范围"/>
            <w:r>
              <w:rPr>
                <w:rFonts w:hint="eastAsia" w:cs="宋体" w:asciiTheme="minorEastAsia" w:hAnsiTheme="minorEastAsia" w:eastAsiaTheme="minorEastAsia"/>
                <w:szCs w:val="21"/>
              </w:rPr>
              <w:t>Q：再生物资回收与批发（不含废旧汽车回收与批发服务）</w:t>
            </w:r>
            <w:bookmarkEnd w:id="0"/>
          </w:p>
          <w:p>
            <w:pPr>
              <w:spacing w:line="2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管理体系设置了管理层、综合部、回收利用部、生产车间</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组织加构无变化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w:t>
            </w:r>
            <w:r>
              <w:rPr>
                <w:rFonts w:hint="eastAsia" w:cs="宋体" w:asciiTheme="minorEastAsia" w:hAnsiTheme="minorEastAsia" w:eastAsiaTheme="minorEastAsia"/>
                <w:szCs w:val="21"/>
                <w:lang w:val="en-US" w:eastAsia="zh-CN"/>
              </w:rPr>
              <w:t>无变化</w:t>
            </w:r>
            <w:r>
              <w:rPr>
                <w:rFonts w:hint="eastAsia" w:cs="宋体" w:asciiTheme="minorEastAsia" w:hAnsiTheme="minorEastAsia" w:eastAsiaTheme="minorEastAsia"/>
                <w:szCs w:val="21"/>
              </w:rPr>
              <w:t>，总经理：张列振</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管者代表：卢新涛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各部门职责已确定并在手册中明确。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认证主管部门：综合部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者代表：卢新涛；总经理确定与公司管理目标和战略方向相关并影响实现管理体系预期结果的各种内部因素（公司的价值观、文化、知识、绩效等相关因素）和外部因素（国家、地区和当地的各种法律法规、技术、竞争、文化和社会因素等）。这些因素包括了需要考虑的正面和负面因素或条件。</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公司回收利用部根据公司销售等外出人员从市场、客户、网络等搜集到的信息并结合公司自身业务运作情况进行分析，通过分析对这些内部和外部因素的相关信息进行监视和评审以确保其充分和适宜。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left="420" w:leftChars="200" w:firstLine="0"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公司确定了：与管理体系有关的相关方，特别是关注外部供方和顾客；这些相关方的要求；这些要求和期望中哪些</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会成为合规义务，公司对这些相关方及其要求的相关信息进行监视和评审，以便于理解和持续满足相关方的需求和期望。</w:t>
            </w:r>
          </w:p>
          <w:p>
            <w:pPr>
              <w:spacing w:line="280" w:lineRule="exact"/>
              <w:ind w:firstLine="480" w:firstLineChars="200"/>
              <w:rPr>
                <w:rFonts w:cs="宋体" w:asciiTheme="minorEastAsia" w:hAnsiTheme="minorEastAsia" w:eastAsiaTheme="minorEastAsia"/>
                <w:sz w:val="24"/>
                <w:szCs w:val="24"/>
              </w:rPr>
            </w:pP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公司管理体系范围：Q：再生物资回收与批发（不含废旧汽车回收与批发服务）</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条款不适用：ISO001：2015标准中的8</w:t>
            </w:r>
            <w:r>
              <w:rPr>
                <w:rFonts w:cs="宋体" w:asciiTheme="minorEastAsia" w:hAnsiTheme="minorEastAsia" w:eastAsiaTheme="minorEastAsia"/>
                <w:szCs w:val="21"/>
              </w:rPr>
              <w:t>.3</w:t>
            </w:r>
            <w:r>
              <w:rPr>
                <w:rFonts w:hint="eastAsia" w:cs="宋体" w:asciiTheme="minorEastAsia" w:hAnsiTheme="minorEastAsia" w:eastAsiaTheme="minorEastAsia"/>
                <w:szCs w:val="21"/>
              </w:rPr>
              <w:t>不适用；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外包情况：物流运输为外包过程。</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公司确定质量管理体系所需的过程及其在整个组织中的应用。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与公司领导交流，</w:t>
            </w:r>
            <w:r>
              <w:rPr>
                <w:rFonts w:hint="eastAsia" w:cs="宋体" w:asciiTheme="minorEastAsia" w:hAnsiTheme="minorEastAsia" w:eastAsiaTheme="minorEastAsia"/>
                <w:szCs w:val="21"/>
              </w:rPr>
              <w:t>主要承诺有：</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1)对管理体系的有效性要承担责任；</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2)建立公司管理体系的方针和目标并确保与公司的环境相适应，与公司战略方向保持一致以及方针在公司内得到沟通理解和有效实施； </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3）确保管理体系要求融入公司的收购、生产和服务各过程。</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4）促进使用过程方法和机遇风险的思维。</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建立合理的公司组织结构,确保管理体系所需资源能被获得；</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建立良好的沟通机制，杜绝因沟通影响管理体系运行有效性；</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7）确保管理体系实现其预期的结果。</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促使员工积极参与，指导和支持他们为公司管理体系的有效性做出贡献；</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9）推动公司改进和创新；</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10)做好管理岗位的任命，公司内部公开发布任命书，以支持其他管理者在其负责领域证实其领导作用；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公司对全体员工进行了产品质量以及顾客关注焦点的宣传和培训，</w:t>
            </w:r>
            <w:r>
              <w:rPr>
                <w:rFonts w:hint="eastAsia" w:cs="宋体" w:asciiTheme="minorEastAsia" w:hAnsiTheme="minorEastAsia" w:eastAsiaTheme="minorEastAsia"/>
                <w:szCs w:val="21"/>
                <w:lang w:val="en-US" w:eastAsia="zh-CN"/>
              </w:rPr>
              <w:t>实施</w:t>
            </w:r>
            <w:r>
              <w:rPr>
                <w:rFonts w:hint="eastAsia" w:cs="宋体" w:asciiTheme="minorEastAsia" w:hAnsiTheme="minorEastAsia" w:eastAsiaTheme="minorEastAsia"/>
                <w:szCs w:val="21"/>
              </w:rPr>
              <w:t>管理文件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确保</w:t>
            </w:r>
            <w:r>
              <w:rPr>
                <w:rFonts w:hint="eastAsia" w:cs="宋体" w:asciiTheme="minorEastAsia" w:hAnsiTheme="minorEastAsia" w:eastAsiaTheme="minorEastAsia"/>
                <w:szCs w:val="21"/>
              </w:rPr>
              <w:t>管理目标</w:t>
            </w:r>
            <w:r>
              <w:rPr>
                <w:rFonts w:hint="eastAsia" w:cs="宋体" w:asciiTheme="minorEastAsia" w:hAnsiTheme="minorEastAsia" w:eastAsiaTheme="minorEastAsia"/>
                <w:szCs w:val="21"/>
                <w:lang w:val="en-US" w:eastAsia="zh-CN"/>
              </w:rPr>
              <w:t>达成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并按规定进行了管理评审，该公司的管理体系基本得到了落实。</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管理层通过制定方针和目标并通过会议、文件、培训等形式，要求员工理解企业的方针目标，以及遵守法律法规的重要性及顾客满意的重要性，并形成制度化，强调企业实施管理体系的重要性。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源提供充分并通过定期进行管理评审发现过程中存在的问题并加以改进，承诺基本有效。定期检查落实的情况，并有具体要求，承诺基本实现，没有违反的情况发生。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与总经理进行交谈，总经理对方针内涵的理解；方针能为制定目标提供框架，方针基本符合标准的要求。</w:t>
            </w:r>
          </w:p>
          <w:p>
            <w:pPr>
              <w:ind w:firstLine="420" w:firstLineChars="200"/>
              <w:rPr>
                <w:rFonts w:hint="eastAsia" w:ascii="宋体" w:hAnsi="宋体"/>
                <w:sz w:val="28"/>
              </w:rPr>
            </w:pPr>
            <w:r>
              <w:rPr>
                <w:rFonts w:cs="宋体" w:asciiTheme="minorEastAsia" w:hAnsiTheme="minorEastAsia" w:eastAsiaTheme="minorEastAsia"/>
                <w:szCs w:val="21"/>
              </w:rPr>
              <w:t>质量方针：</w:t>
            </w:r>
            <w:r>
              <w:rPr>
                <w:rFonts w:hint="eastAsia" w:cs="宋体" w:asciiTheme="minorEastAsia" w:hAnsiTheme="minorEastAsia" w:eastAsiaTheme="minorEastAsia"/>
                <w:szCs w:val="21"/>
              </w:rPr>
              <w:t>质量至上，精益求精，及时周到，顾客满意。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公司组织结构设置</w:t>
            </w:r>
            <w:r>
              <w:rPr>
                <w:rFonts w:hint="eastAsia" w:cs="宋体" w:asciiTheme="minorEastAsia" w:hAnsiTheme="minorEastAsia" w:eastAsiaTheme="minorEastAsia"/>
                <w:szCs w:val="21"/>
                <w:lang w:val="en-US" w:eastAsia="zh-CN"/>
              </w:rPr>
              <w:t>无变化</w:t>
            </w:r>
            <w:r>
              <w:rPr>
                <w:rFonts w:hint="eastAsia" w:cs="宋体" w:asciiTheme="minorEastAsia" w:hAnsiTheme="minorEastAsia" w:eastAsiaTheme="minorEastAsia"/>
                <w:szCs w:val="21"/>
              </w:rPr>
              <w:t>，各部门职责、权限和相互关系文件化，通过会议、培训、文件确保各部门及人员明确。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公司建立、实施和保持公司管理体系所需过程，公司任命卢新涛为管理体系管理者代表，与其交谈明确职责和权限：</w:t>
            </w:r>
          </w:p>
          <w:p>
            <w:pPr>
              <w:pStyle w:val="16"/>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w:t>
            </w:r>
          </w:p>
          <w:p>
            <w:pPr>
              <w:pStyle w:val="16"/>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向最高管理者报告管理体系的运行、管理业绩情况以供评审，并提出管理体系改进方面的建议；</w:t>
            </w:r>
          </w:p>
          <w:p>
            <w:pPr>
              <w:pStyle w:val="16"/>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确保在整个组织内提高满足顾客、相关方要求和适用法律法规要求的意识；</w:t>
            </w:r>
          </w:p>
          <w:p>
            <w:pPr>
              <w:pStyle w:val="16"/>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组织落实公司管理体系的管理评审和内部审核；</w:t>
            </w:r>
          </w:p>
          <w:p>
            <w:pPr>
              <w:pStyle w:val="16"/>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及时处理影响公司管理体系正常运行的有关问题；</w:t>
            </w:r>
          </w:p>
          <w:p>
            <w:pPr>
              <w:pStyle w:val="16"/>
              <w:numPr>
                <w:ilvl w:val="0"/>
                <w:numId w:val="1"/>
              </w:numPr>
              <w:spacing w:line="2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Cs w:val="21"/>
              </w:rPr>
              <w:t>负责公司管理体系有关事宜的对外联络等。</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指定综合部负责组织公司风险和机遇识别和控制措施制定，建立并执行《风险和机遇控制程序》。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提供了内外因素识别清单、风险及机遇识别评价表，将需要应对的风险和机遇进行风险分析确定风险级别（采用打分法），在管理体系所确定的过程中，整合制定针对性管理措施。</w:t>
            </w:r>
          </w:p>
          <w:p>
            <w:pPr>
              <w:pStyle w:val="16"/>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外部因素主要有：社会和文化、政治、法律、监管、经济、自然环境和市场竞争环境；影响公司管理目标的主</w:t>
            </w:r>
          </w:p>
          <w:p>
            <w:pPr>
              <w:pStyle w:val="16"/>
              <w:numPr>
                <w:ilvl w:val="0"/>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要驱动和趋势；与外部利益相关者的价值观的关系。如国家政策、标准、法律法规及其他要求的变动等</w:t>
            </w:r>
          </w:p>
          <w:p>
            <w:pPr>
              <w:pStyle w:val="16"/>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能力、流程等）；内部利益相关者的价值观与组织文化之间的关系；信息系统、信息流和决策流程；控制过程。</w:t>
            </w:r>
          </w:p>
          <w:p>
            <w:pPr>
              <w:pStyle w:val="16"/>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在策划管理体系时考虑了风险和机遇以及相应的应对措施，制定了《风险和机遇的应对控制程序》，明确风险</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和机遇事件的识别方法/途径、风险和机遇事件的评估方式、制定主要风险和机遇事件的应对措施的要求、评价这些措施有效性的方法。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建立风险对策及跟进表，明确责任部门负责跟踪风险对策实施和完成时间。</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提供公司管理目标与公司管理方针一致；可测量；并对管理体系所需的相关职能、层次和过程设定管理目标。考虑适用的要求；与提供合格产品和服务以及增强顾客满意相关；予以监视；予以沟通；适时更新。</w:t>
            </w:r>
          </w:p>
          <w:p>
            <w:pPr>
              <w:spacing w:line="28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质量目标：1. 产品交付合格率100%；2、顾客满意率≥95%</w:t>
            </w:r>
          </w:p>
          <w:p>
            <w:pPr>
              <w:spacing w:line="28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提供各部门质量目标分解文件，明确考核方法、周期和考核人；</w:t>
            </w:r>
          </w:p>
          <w:p>
            <w:pPr>
              <w:spacing w:line="28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公司级目标完成情况：有2021年</w:t>
            </w:r>
            <w:r>
              <w:rPr>
                <w:rFonts w:hint="eastAsia" w:cs="宋体" w:asciiTheme="minorEastAsia" w:hAnsiTheme="minorEastAsia" w:eastAsiaTheme="minorEastAsia"/>
                <w:color w:val="auto"/>
                <w:szCs w:val="21"/>
                <w:lang w:val="en-US" w:eastAsia="zh-CN"/>
              </w:rPr>
              <w:t>三、四</w:t>
            </w:r>
            <w:r>
              <w:rPr>
                <w:rFonts w:hint="eastAsia" w:cs="宋体" w:asciiTheme="minorEastAsia" w:hAnsiTheme="minorEastAsia" w:eastAsiaTheme="minorEastAsia"/>
                <w:color w:val="auto"/>
                <w:szCs w:val="21"/>
              </w:rPr>
              <w:t>季度、</w:t>
            </w:r>
            <w:r>
              <w:rPr>
                <w:rFonts w:hint="eastAsia" w:cs="宋体" w:asciiTheme="minorEastAsia" w:hAnsiTheme="minorEastAsia" w:eastAsiaTheme="minorEastAsia"/>
                <w:color w:val="auto"/>
                <w:szCs w:val="21"/>
                <w:lang w:val="en-US" w:eastAsia="zh-CN"/>
              </w:rPr>
              <w:t>2022年一、</w:t>
            </w:r>
            <w:r>
              <w:rPr>
                <w:rFonts w:hint="eastAsia" w:cs="宋体" w:asciiTheme="minorEastAsia" w:hAnsiTheme="minorEastAsia" w:eastAsiaTheme="minorEastAsia"/>
                <w:color w:val="auto"/>
                <w:szCs w:val="21"/>
              </w:rPr>
              <w:t>二季度完成情况记录，目标、指标达成；有各职能部门目标指标每季度完成情况统计表，均达标</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color w:val="auto"/>
                <w:szCs w:val="21"/>
              </w:rPr>
              <w:t xml:space="preserve"> </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公司建立质量管理体系，暂无重大变更。</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负责人明确公司确定需要对管理体系进行变更时，应经策划并系统的实施，考虑变更目的及其潜在后果；管理体系的完整性；资源的可获得性；责任和权限的分配与再分配。 </w:t>
            </w:r>
          </w:p>
          <w:p>
            <w:pPr>
              <w:spacing w:line="280" w:lineRule="exact"/>
              <w:ind w:firstLine="210" w:firstLineChars="100"/>
              <w:rPr>
                <w:rFonts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p>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7.1.1</w:t>
            </w:r>
          </w:p>
        </w:tc>
        <w:tc>
          <w:tcPr>
            <w:tcW w:w="11223" w:type="dxa"/>
            <w:vAlign w:val="center"/>
          </w:tcPr>
          <w:p>
            <w:pPr>
              <w:spacing w:line="280" w:lineRule="exact"/>
              <w:ind w:firstLine="420" w:firstLineChars="200"/>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本公司确定并提供为建立、实施、保持和持续改进质量管理体系所需资源，</w:t>
            </w:r>
            <w:r>
              <w:rPr>
                <w:rFonts w:hint="eastAsia" w:cs="宋体" w:asciiTheme="minorEastAsia" w:hAnsiTheme="minorEastAsia" w:eastAsiaTheme="minorEastAsia"/>
                <w:szCs w:val="21"/>
                <w:lang w:val="en-US" w:eastAsia="zh-CN"/>
              </w:rPr>
              <w:t>资源适宜、充分，与之前比无重大改变</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rPr>
            </w:pPr>
            <w:r>
              <w:rPr>
                <w:rFonts w:hint="eastAsia" w:ascii="宋体" w:hAnsi="宋体" w:cs="Arial"/>
                <w:spacing w:val="-6"/>
                <w:szCs w:val="21"/>
              </w:rPr>
              <w:t>沟通</w:t>
            </w:r>
          </w:p>
        </w:tc>
        <w:tc>
          <w:tcPr>
            <w:tcW w:w="1019"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Q</w:t>
            </w:r>
            <w:r>
              <w:rPr>
                <w:rFonts w:cs="Arial" w:asciiTheme="minorEastAsia" w:hAnsiTheme="minorEastAsia" w:eastAsiaTheme="minorEastAsia"/>
                <w:spacing w:val="-6"/>
                <w:szCs w:val="24"/>
              </w:rPr>
              <w:t xml:space="preserve"> 7.4</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公司建立并实施《内部沟通管理程序》，规定了职责、工作流程，包括内部沟通和外部沟通的方法和要求。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管理体系相关的内部和外部沟通，包括：沟通什么；何时沟通；与谁沟通；如何沟通；由谁负责，内外部沟通具体体现在公司内部工作会议、质量、环境、职业健康安全会议、员工的培训、公司宣传栏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与外部的沟通具体体现在合同签订、满意度调查、顾客走访或网络、电话沟通；与供方和主管部门等进行沟通。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现场查阅内部交流：方针、目标完成情况、内审和管理评审报告、培训或会议、文件和通知下发等。</w:t>
            </w:r>
          </w:p>
          <w:p>
            <w:pPr>
              <w:spacing w:line="280" w:lineRule="exact"/>
              <w:ind w:firstLine="420" w:firstLineChars="200"/>
              <w:rPr>
                <w:rFonts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公司建立并实施《管理评审控制程序》，规定管理评审每年进行一次，由总经理决定是否增加管理评审的频次，间隔不超过12个月。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numPr>
                <w:ilvl w:val="0"/>
                <w:numId w:val="3"/>
              </w:num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管理评审计划评审时间：</w:t>
            </w:r>
          </w:p>
          <w:p>
            <w:pPr>
              <w:numPr>
                <w:ilvl w:val="0"/>
                <w:numId w:val="0"/>
              </w:num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年3月2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日进行， 评审方式：会议评审，批准：张列振， 参加人员包括公司总经理、管理者代表、各部门负责人，计划中明确了评审内容和资料准备要求。 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年3月22日下达</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2.管理评审会议实施：有签到、记录、评审资料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3.管理评审报告：评审目的、评审内容、评审时间、参加人员、管理评审综述和结论；</w:t>
            </w:r>
          </w:p>
          <w:p>
            <w:pPr>
              <w:spacing w:line="28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结论：公司管理方针符合标准要求</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无变化，得到贯彻执行，</w:t>
            </w:r>
            <w:r>
              <w:rPr>
                <w:rFonts w:hint="eastAsia" w:asciiTheme="minorEastAsia" w:hAnsiTheme="minorEastAsia" w:eastAsiaTheme="minorEastAsia"/>
                <w:color w:val="auto"/>
                <w:szCs w:val="21"/>
              </w:rPr>
              <w:t>适用于公司管理状况，与公司战略目标一致，体现顾客需求；公司人力资源、基础设施和工作环境均能满足要求</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按期进行内审和体系运行的日常管理，</w:t>
            </w: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Cs w:val="21"/>
                <w:lang w:val="en-US" w:eastAsia="zh-CN"/>
              </w:rPr>
              <w:t>质量</w:t>
            </w:r>
            <w:r>
              <w:rPr>
                <w:rFonts w:hint="eastAsia" w:asciiTheme="minorEastAsia" w:hAnsiTheme="minorEastAsia" w:eastAsiaTheme="minorEastAsia"/>
                <w:color w:val="auto"/>
                <w:szCs w:val="21"/>
              </w:rPr>
              <w:t>管理体系适宜性、充分性和有效；顾客和相关方对公司的产品质量满意；公司各级管理者对公司</w:t>
            </w:r>
            <w:r>
              <w:rPr>
                <w:rFonts w:hint="eastAsia" w:asciiTheme="minorEastAsia" w:hAnsiTheme="minorEastAsia" w:eastAsiaTheme="minorEastAsia"/>
                <w:color w:val="auto"/>
                <w:szCs w:val="21"/>
                <w:lang w:val="en-US" w:eastAsia="zh-CN"/>
              </w:rPr>
              <w:t>适用的质量</w:t>
            </w:r>
            <w:r>
              <w:rPr>
                <w:rFonts w:hint="eastAsia" w:asciiTheme="minorEastAsia" w:hAnsiTheme="minorEastAsia" w:eastAsiaTheme="minorEastAsia"/>
                <w:color w:val="auto"/>
                <w:szCs w:val="21"/>
              </w:rPr>
              <w:t>法律法规进行了核</w:t>
            </w:r>
            <w:r>
              <w:rPr>
                <w:rFonts w:hint="eastAsia" w:asciiTheme="minorEastAsia" w:hAnsiTheme="minorEastAsia" w:eastAsiaTheme="minorEastAsia"/>
                <w:color w:val="auto"/>
                <w:szCs w:val="21"/>
                <w:lang w:val="en-US" w:eastAsia="zh-CN"/>
              </w:rPr>
              <w:t>查</w:t>
            </w:r>
            <w:r>
              <w:rPr>
                <w:rFonts w:hint="eastAsia" w:asciiTheme="minorEastAsia" w:hAnsiTheme="minorEastAsia" w:eastAsiaTheme="minorEastAsia"/>
                <w:color w:val="auto"/>
                <w:szCs w:val="21"/>
              </w:rPr>
              <w:t>，公司目前的各项经营活动、服务等均符合相关的法律法规要求；公司没有发生重大质量事故；公司质量管理体系处于</w:t>
            </w:r>
            <w:r>
              <w:rPr>
                <w:rFonts w:hint="eastAsia" w:asciiTheme="minorEastAsia" w:hAnsiTheme="minorEastAsia" w:eastAsiaTheme="minorEastAsia"/>
                <w:color w:val="auto"/>
                <w:szCs w:val="21"/>
                <w:lang w:val="en-US" w:eastAsia="zh-CN"/>
              </w:rPr>
              <w:t>持续有效运行</w:t>
            </w:r>
            <w:r>
              <w:rPr>
                <w:rFonts w:hint="eastAsia" w:asciiTheme="minorEastAsia" w:hAnsiTheme="minorEastAsia" w:eastAsiaTheme="minorEastAsia"/>
                <w:color w:val="auto"/>
                <w:szCs w:val="21"/>
              </w:rPr>
              <w:t>，符合公司当前的实际情况和公司发展的需要。</w:t>
            </w:r>
          </w:p>
          <w:p>
            <w:pPr>
              <w:spacing w:line="28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drawing>
                <wp:anchor distT="0" distB="0" distL="114300" distR="114300" simplePos="0" relativeHeight="251659264" behindDoc="0" locked="0" layoutInCell="1" allowOverlap="1">
                  <wp:simplePos x="0" y="0"/>
                  <wp:positionH relativeFrom="column">
                    <wp:posOffset>353060</wp:posOffset>
                  </wp:positionH>
                  <wp:positionV relativeFrom="paragraph">
                    <wp:posOffset>20955</wp:posOffset>
                  </wp:positionV>
                  <wp:extent cx="2827655" cy="2003425"/>
                  <wp:effectExtent l="0" t="0" r="10795" b="15875"/>
                  <wp:wrapNone/>
                  <wp:docPr id="1" name="图片 1" descr="1657177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177999(1)"/>
                          <pic:cNvPicPr>
                            <a:picLocks noChangeAspect="1"/>
                          </pic:cNvPicPr>
                        </pic:nvPicPr>
                        <pic:blipFill>
                          <a:blip r:embed="rId6"/>
                          <a:stretch>
                            <a:fillRect/>
                          </a:stretch>
                        </pic:blipFill>
                        <pic:spPr>
                          <a:xfrm>
                            <a:off x="0" y="0"/>
                            <a:ext cx="2827655" cy="2003425"/>
                          </a:xfrm>
                          <a:prstGeom prst="rect">
                            <a:avLst/>
                          </a:prstGeom>
                        </pic:spPr>
                      </pic:pic>
                    </a:graphicData>
                  </a:graphic>
                </wp:anchor>
              </w:drawing>
            </w:r>
          </w:p>
          <w:p>
            <w:pPr>
              <w:spacing w:line="280" w:lineRule="exact"/>
              <w:ind w:firstLine="420" w:firstLineChars="200"/>
              <w:rPr>
                <w:rFonts w:hint="eastAsia" w:asciiTheme="minorEastAsia" w:hAnsiTheme="minorEastAsia" w:eastAsiaTheme="minorEastAsia"/>
                <w:color w:val="auto"/>
                <w:szCs w:val="21"/>
                <w:lang w:eastAsia="zh-CN"/>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bookmarkStart w:id="1" w:name="_GoBack"/>
            <w:bookmarkEnd w:id="1"/>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hint="eastAsia" w:asciiTheme="minorEastAsia" w:hAnsiTheme="minorEastAsia" w:eastAsiaTheme="minorEastAsia"/>
                <w:color w:val="auto"/>
                <w:szCs w:val="21"/>
              </w:rPr>
            </w:pPr>
          </w:p>
          <w:p>
            <w:pPr>
              <w:spacing w:line="280" w:lineRule="exact"/>
              <w:ind w:firstLine="420" w:firstLineChars="200"/>
              <w:rPr>
                <w:rFonts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质量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lang w:val="en-US" w:eastAsia="zh-CN"/>
              </w:rPr>
              <w:t>公司不断的</w:t>
            </w:r>
            <w:r>
              <w:rPr>
                <w:rFonts w:hint="eastAsia" w:cs="宋体" w:asciiTheme="minorEastAsia" w:hAnsiTheme="minorEastAsia" w:eastAsiaTheme="minorEastAsia"/>
                <w:szCs w:val="21"/>
              </w:rPr>
              <w:t>改进产品和服务，纠正、预防或减少不利影响，改进体系绩效和有效性。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公司开展检查和考核工作、自查自纠及外部检查等形式，不断持续改进，提高顾客满意和</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绩效，持续改进管理体系的适宜性、充分性和有效性。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提供营业执照在有效期内，包含申请产品范围</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公司管理体系</w:t>
            </w:r>
            <w:r>
              <w:rPr>
                <w:rFonts w:hint="eastAsia" w:cs="宋体" w:asciiTheme="minorEastAsia" w:hAnsiTheme="minorEastAsia" w:eastAsiaTheme="minorEastAsia"/>
                <w:szCs w:val="21"/>
                <w:lang w:val="en-US" w:eastAsia="zh-CN"/>
              </w:rPr>
              <w:t>近年来</w:t>
            </w:r>
            <w:r>
              <w:rPr>
                <w:rFonts w:hint="eastAsia" w:cs="宋体" w:asciiTheme="minorEastAsia" w:hAnsiTheme="minorEastAsia" w:eastAsiaTheme="minorEastAsia"/>
                <w:szCs w:val="21"/>
              </w:rPr>
              <w:t>，未发生质量事故</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管理体系运行期间未发生顾客及相关方</w:t>
            </w:r>
            <w:r>
              <w:rPr>
                <w:rFonts w:hint="eastAsia" w:cs="宋体" w:asciiTheme="minorEastAsia" w:hAnsiTheme="minorEastAsia" w:eastAsiaTheme="minorEastAsia"/>
                <w:szCs w:val="21"/>
                <w:lang w:val="en-US" w:eastAsia="zh-CN"/>
              </w:rPr>
              <w:t>重大</w:t>
            </w:r>
            <w:r>
              <w:rPr>
                <w:rFonts w:hint="eastAsia" w:cs="宋体" w:asciiTheme="minorEastAsia" w:hAnsiTheme="minorEastAsia" w:eastAsiaTheme="minorEastAsia"/>
                <w:szCs w:val="21"/>
              </w:rPr>
              <w:t>投诉情况，日常顾客反馈意见或建议已及时处理</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公司通过主管部门监督检查，无产品质量方面抽查</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lang w:val="en-US" w:eastAsia="zh-CN"/>
              </w:rPr>
              <w:t>前期</w:t>
            </w:r>
            <w:r>
              <w:rPr>
                <w:rFonts w:hint="eastAsia" w:cs="Arial" w:asciiTheme="minorEastAsia" w:hAnsiTheme="minorEastAsia" w:eastAsiaTheme="minorEastAsia"/>
                <w:spacing w:val="-6"/>
                <w:szCs w:val="24"/>
              </w:rPr>
              <w:t>审核问题的验证</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lang w:val="en-US" w:eastAsia="zh-CN"/>
              </w:rPr>
              <w:t>前期</w:t>
            </w:r>
            <w:r>
              <w:rPr>
                <w:rFonts w:hint="eastAsia" w:cs="宋体" w:asciiTheme="minorEastAsia" w:hAnsiTheme="minorEastAsia" w:eastAsiaTheme="minorEastAsia"/>
                <w:szCs w:val="21"/>
              </w:rPr>
              <w:t>审核提出的问题，已有效纠正，未重复发生。</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760" w:type="dxa"/>
          </w:tcPr>
          <w:p>
            <w:pPr>
              <w:spacing w:line="320" w:lineRule="exact"/>
              <w:rPr>
                <w:rFonts w:asciiTheme="minorEastAsia" w:hAnsiTheme="minorEastAsia" w:eastAsiaTheme="minorEastAsia"/>
              </w:rPr>
            </w:pPr>
          </w:p>
        </w:tc>
      </w:tr>
    </w:tbl>
    <w:p>
      <w:pPr>
        <w:jc w:val="left"/>
        <w:rPr>
          <w:rFonts w:asciiTheme="minorEastAsia" w:hAnsiTheme="minorEastAsia" w:eastAsiaTheme="minorEastAsia"/>
        </w:rPr>
      </w:pPr>
      <w:r>
        <w:rPr>
          <w:rFonts w:hint="eastAsia" w:asciiTheme="minorEastAsia" w:hAnsiTheme="minorEastAsia" w:eastAsiaTheme="minor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 xml:space="preserve">Beijing International Standard united Certification Co.,Ltd.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95068"/>
    <w:multiLevelType w:val="singleLevel"/>
    <w:tmpl w:val="9CB95068"/>
    <w:lvl w:ilvl="0" w:tentative="0">
      <w:start w:val="1"/>
      <w:numFmt w:val="decimal"/>
      <w:lvlText w:val="%1."/>
      <w:lvlJc w:val="left"/>
      <w:pPr>
        <w:tabs>
          <w:tab w:val="left" w:pos="312"/>
        </w:tabs>
      </w:pPr>
    </w:lvl>
  </w:abstractNum>
  <w:abstractNum w:abstractNumId="1">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0ED3"/>
    <w:rsid w:val="00075039"/>
    <w:rsid w:val="000753A8"/>
    <w:rsid w:val="00075451"/>
    <w:rsid w:val="00077C91"/>
    <w:rsid w:val="00096B85"/>
    <w:rsid w:val="00097899"/>
    <w:rsid w:val="000A0B92"/>
    <w:rsid w:val="000A37D6"/>
    <w:rsid w:val="000A706B"/>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1E8D"/>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2925"/>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B6DE5"/>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5F47A7"/>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3ECA"/>
    <w:rsid w:val="00714E4F"/>
    <w:rsid w:val="00726BDF"/>
    <w:rsid w:val="0073317D"/>
    <w:rsid w:val="0073498A"/>
    <w:rsid w:val="0073640D"/>
    <w:rsid w:val="00751E25"/>
    <w:rsid w:val="007552F3"/>
    <w:rsid w:val="00757C86"/>
    <w:rsid w:val="007631FD"/>
    <w:rsid w:val="00770AC4"/>
    <w:rsid w:val="007757F3"/>
    <w:rsid w:val="007D1134"/>
    <w:rsid w:val="007D54D2"/>
    <w:rsid w:val="007D7047"/>
    <w:rsid w:val="007E4C55"/>
    <w:rsid w:val="007E5D23"/>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7755F"/>
    <w:rsid w:val="00981521"/>
    <w:rsid w:val="009865DD"/>
    <w:rsid w:val="00990AF0"/>
    <w:rsid w:val="009973B4"/>
    <w:rsid w:val="009A457A"/>
    <w:rsid w:val="009C1458"/>
    <w:rsid w:val="009C1EE2"/>
    <w:rsid w:val="009C28C1"/>
    <w:rsid w:val="009D20CD"/>
    <w:rsid w:val="009D42EE"/>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B3C0D"/>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5734E"/>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553BB"/>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92C5B66"/>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DF31B27"/>
    <w:rsid w:val="3F0F3C1B"/>
    <w:rsid w:val="40285D69"/>
    <w:rsid w:val="414D774F"/>
    <w:rsid w:val="41842DAE"/>
    <w:rsid w:val="418A49D1"/>
    <w:rsid w:val="427C2E3D"/>
    <w:rsid w:val="440643B1"/>
    <w:rsid w:val="44D10776"/>
    <w:rsid w:val="466F33FE"/>
    <w:rsid w:val="46B97919"/>
    <w:rsid w:val="48800E04"/>
    <w:rsid w:val="489C542B"/>
    <w:rsid w:val="494C5676"/>
    <w:rsid w:val="4A167CF1"/>
    <w:rsid w:val="4ABE4B71"/>
    <w:rsid w:val="4BF532EE"/>
    <w:rsid w:val="4BFF3076"/>
    <w:rsid w:val="4D943D2E"/>
    <w:rsid w:val="4E95570D"/>
    <w:rsid w:val="4EC64F08"/>
    <w:rsid w:val="4F4B4E96"/>
    <w:rsid w:val="4FF9693C"/>
    <w:rsid w:val="50886C2D"/>
    <w:rsid w:val="51543C71"/>
    <w:rsid w:val="52390AC9"/>
    <w:rsid w:val="56135BAC"/>
    <w:rsid w:val="56390FCA"/>
    <w:rsid w:val="58322D49"/>
    <w:rsid w:val="592C636B"/>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53512"/>
    <w:rsid w:val="702D7970"/>
    <w:rsid w:val="71065FD8"/>
    <w:rsid w:val="7333596B"/>
    <w:rsid w:val="73A00EA2"/>
    <w:rsid w:val="75A8368A"/>
    <w:rsid w:val="761F43CB"/>
    <w:rsid w:val="76373F2B"/>
    <w:rsid w:val="76E27F87"/>
    <w:rsid w:val="77310DBF"/>
    <w:rsid w:val="781F206A"/>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link w:val="17"/>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styleId="16">
    <w:name w:val="List Paragraph"/>
    <w:basedOn w:val="1"/>
    <w:qFormat/>
    <w:uiPriority w:val="99"/>
    <w:pPr>
      <w:ind w:firstLine="420" w:firstLineChars="200"/>
    </w:pPr>
  </w:style>
  <w:style w:type="character" w:customStyle="1" w:styleId="17">
    <w:name w:val="纯文本 Char"/>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516DF-6C36-4D8C-A8C3-AF2F708CF264}">
  <ds:schemaRefs/>
</ds:datastoreItem>
</file>

<file path=docProps/app.xml><?xml version="1.0" encoding="utf-8"?>
<Properties xmlns="http://schemas.openxmlformats.org/officeDocument/2006/extended-properties" xmlns:vt="http://schemas.openxmlformats.org/officeDocument/2006/docPropsVTypes">
  <Template>Normal</Template>
  <Pages>5</Pages>
  <Words>4323</Words>
  <Characters>4471</Characters>
  <Lines>34</Lines>
  <Paragraphs>9</Paragraphs>
  <TotalTime>6</TotalTime>
  <ScaleCrop>false</ScaleCrop>
  <LinksUpToDate>false</LinksUpToDate>
  <CharactersWithSpaces>4530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2022-07-07T07:15:41Z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DA2F78EDC4D1497C8FB8763E9C940575</vt:lpwstr>
  </property>
</Properties>
</file>