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0783-2022-EnMS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浙江帕瓦新能源股份有限公司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浙江帕瓦新能源股份有限公司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浙江省诸暨市陶朱街道鸿程路92号</w:t>
            </w:r>
            <w:bookmarkEnd w:id="6"/>
          </w:p>
        </w:tc>
        <w:tc>
          <w:tcPr>
            <w:tcW w:w="1242" w:type="dxa"/>
            <w:vMerge w:val="restart"/>
            <w:vAlign w:val="center"/>
          </w:tcPr>
          <w:p>
            <w:r>
              <w:rPr>
                <w:rFonts w:hint="eastAsia"/>
              </w:rPr>
              <w:t>邮编</w:t>
            </w:r>
          </w:p>
        </w:tc>
        <w:tc>
          <w:tcPr>
            <w:tcW w:w="1771" w:type="dxa"/>
          </w:tcPr>
          <w:p>
            <w:bookmarkStart w:id="7" w:name="注册邮编"/>
            <w:r>
              <w:t>311816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浙江省诸暨市陶朱街道鸿程路92号</w:t>
            </w:r>
            <w:bookmarkEnd w:id="8"/>
          </w:p>
        </w:tc>
        <w:tc>
          <w:tcPr>
            <w:tcW w:w="1242" w:type="dxa"/>
            <w:vMerge w:val="continue"/>
            <w:vAlign w:val="center"/>
          </w:tcPr>
          <w:p/>
        </w:tc>
        <w:tc>
          <w:tcPr>
            <w:tcW w:w="1771" w:type="dxa"/>
          </w:tcPr>
          <w:p>
            <w:bookmarkStart w:id="9" w:name="办公邮编"/>
            <w:r>
              <w:t>311816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张冈</w:t>
            </w:r>
            <w:bookmarkEnd w:id="10"/>
          </w:p>
        </w:tc>
        <w:tc>
          <w:tcPr>
            <w:tcW w:w="1313" w:type="dxa"/>
            <w:vAlign w:val="center"/>
          </w:tcPr>
          <w:p>
            <w:r>
              <w:rPr>
                <w:rFonts w:hint="eastAsia"/>
              </w:rPr>
              <w:t>电话.</w:t>
            </w:r>
          </w:p>
        </w:tc>
        <w:tc>
          <w:tcPr>
            <w:tcW w:w="2180" w:type="dxa"/>
            <w:vAlign w:val="center"/>
          </w:tcPr>
          <w:p>
            <w:bookmarkStart w:id="11" w:name="联系人电话"/>
            <w:r>
              <w:t>0575-80709612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王宝良</w:t>
            </w:r>
            <w:bookmarkEnd w:id="13"/>
          </w:p>
        </w:tc>
        <w:tc>
          <w:tcPr>
            <w:tcW w:w="1313" w:type="dxa"/>
            <w:vAlign w:val="center"/>
          </w:tcPr>
          <w:p>
            <w:r>
              <w:rPr>
                <w:rFonts w:hint="eastAsia"/>
              </w:rPr>
              <w:t>管理者代表</w:t>
            </w:r>
          </w:p>
        </w:tc>
        <w:tc>
          <w:tcPr>
            <w:tcW w:w="2180" w:type="dxa"/>
          </w:tcPr>
          <w:p>
            <w:bookmarkStart w:id="14" w:name="管理者代表"/>
            <w:r>
              <w:t>张冈</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多班次说明</w:t>
            </w:r>
          </w:p>
        </w:tc>
        <w:tc>
          <w:tcPr>
            <w:tcW w:w="8058" w:type="dxa"/>
            <w:gridSpan w:val="5"/>
            <w:shd w:val="clear" w:color="auto" w:fill="auto"/>
          </w:tcPr>
          <w:p>
            <w:pP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受审核组织的班次：□单班</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双班□三班□其他</w:t>
            </w:r>
          </w:p>
          <w:p>
            <w:pP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 xml:space="preserve">早班8:00- </w:t>
            </w:r>
            <w:r>
              <w:rPr>
                <w:rFonts w:hint="eastAsia" w:ascii="Times New Roman" w:hAnsi="Times New Roman" w:eastAsia="宋体" w:cs="Times New Roman"/>
                <w:color w:val="000000"/>
                <w:szCs w:val="21"/>
                <w:lang w:val="en-US" w:eastAsia="zh-CN"/>
              </w:rPr>
              <w:t>20</w:t>
            </w:r>
            <w:r>
              <w:rPr>
                <w:rFonts w:hint="eastAsia" w:ascii="Times New Roman" w:hAnsi="Times New Roman" w:eastAsia="宋体" w:cs="Times New Roman"/>
                <w:color w:val="000000"/>
                <w:szCs w:val="21"/>
              </w:rPr>
              <w:t xml:space="preserve"> :00；晚班</w:t>
            </w:r>
            <w:r>
              <w:rPr>
                <w:rFonts w:hint="eastAsia" w:ascii="Times New Roman" w:hAnsi="Times New Roman" w:eastAsia="宋体" w:cs="Times New Roman"/>
                <w:color w:val="000000"/>
                <w:szCs w:val="21"/>
                <w:lang w:val="en-US" w:eastAsia="zh-CN"/>
              </w:rPr>
              <w:t>20</w:t>
            </w:r>
            <w:r>
              <w:rPr>
                <w:rFonts w:hint="eastAsia" w:ascii="Times New Roman" w:hAnsi="Times New Roman" w:eastAsia="宋体" w:cs="Times New Roman"/>
                <w:color w:val="000000"/>
                <w:szCs w:val="21"/>
              </w:rPr>
              <w:t xml:space="preserve"> :00- </w:t>
            </w:r>
            <w:r>
              <w:rPr>
                <w:rFonts w:hint="eastAsia" w:ascii="Times New Roman" w:hAnsi="Times New Roman" w:eastAsia="宋体" w:cs="Times New Roman"/>
                <w:color w:val="000000"/>
                <w:szCs w:val="21"/>
                <w:lang w:val="en-US" w:eastAsia="zh-CN"/>
              </w:rPr>
              <w:t>8</w:t>
            </w:r>
            <w:r>
              <w:rPr>
                <w:rFonts w:hint="eastAsia" w:ascii="Times New Roman" w:hAnsi="Times New Roman" w:eastAsia="宋体" w:cs="Times New Roman"/>
                <w:color w:val="000000"/>
                <w:szCs w:val="21"/>
              </w:rPr>
              <w:t xml:space="preserve">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eastAsia="宋体"/>
                <w:color w:val="000000"/>
                <w:szCs w:val="21"/>
                <w:lang w:eastAsia="zh-CN"/>
              </w:rPr>
              <w:drawing>
                <wp:inline distT="0" distB="0" distL="114300" distR="114300">
                  <wp:extent cx="4974590" cy="3124200"/>
                  <wp:effectExtent l="0" t="0" r="3810" b="0"/>
                  <wp:docPr id="2" name="图片 2" descr="3edadc62a71a8bbbff38154b6080a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edadc62a71a8bbbff38154b6080a4e"/>
                          <pic:cNvPicPr>
                            <a:picLocks noChangeAspect="1"/>
                          </pic:cNvPicPr>
                        </pic:nvPicPr>
                        <pic:blipFill>
                          <a:blip r:embed="rId6"/>
                          <a:stretch>
                            <a:fillRect/>
                          </a:stretch>
                        </pic:blipFill>
                        <pic:spPr>
                          <a:xfrm>
                            <a:off x="0" y="0"/>
                            <a:ext cx="4974590" cy="3124200"/>
                          </a:xfrm>
                          <a:prstGeom prst="rect">
                            <a:avLst/>
                          </a:prstGeom>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5" w:name="审核日期"/>
            <w:r>
              <w:rPr>
                <w:rFonts w:hint="eastAsia"/>
              </w:rPr>
              <w:t>2022年07月25日 上午至2022年07月26日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pPr>
              <w:rPr>
                <w:rFonts w:hint="default"/>
                <w:lang w:val="en-US"/>
              </w:rPr>
            </w:pPr>
            <w:r>
              <w:rPr>
                <w:rFonts w:hint="eastAsia" w:ascii="宋体" w:hAnsi="宋体"/>
                <w:b/>
                <w:color w:val="000000"/>
                <w:szCs w:val="21"/>
                <w:lang w:val="de-DE" w:eastAsia="zh-CN"/>
              </w:rPr>
              <w:t>☑</w:t>
            </w:r>
            <w:r>
              <w:rPr>
                <w:rFonts w:hint="eastAsia" w:ascii="Times New Roman" w:hAnsi="Times New Roman" w:eastAsia="宋体" w:cs="Times New Roman"/>
                <w:lang w:val="de-DE"/>
              </w:rPr>
              <w:t>RB</w:t>
            </w:r>
            <w:r>
              <w:rPr>
                <w:rFonts w:hint="eastAsia" w:ascii="Times New Roman" w:hAnsi="Times New Roman" w:eastAsia="宋体" w:cs="Times New Roman"/>
                <w:lang w:val="en-US" w:eastAsia="zh-CN"/>
              </w:rPr>
              <w:t>/T</w:t>
            </w:r>
            <w:r>
              <w:rPr>
                <w:rFonts w:hint="eastAsia" w:cs="Times New Roman"/>
                <w:lang w:val="en-US" w:eastAsia="zh-CN"/>
              </w:rPr>
              <w:t>114-2014能源管理体系  纯碱、焦化、橡塑制品、制药等化工企业认证要求</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现场：周涛（</w:t>
            </w:r>
            <w:r>
              <w:rPr>
                <w:rFonts w:hint="eastAsia" w:ascii="宋体" w:hAnsi="宋体" w:cs="宋体"/>
                <w:color w:val="000000"/>
                <w:kern w:val="0"/>
                <w:szCs w:val="21"/>
              </w:rPr>
              <w:t>浙江省诸暨市陶朱街道鸿程路92号</w:t>
            </w:r>
            <w:r>
              <w:rPr>
                <w:rFonts w:hint="eastAsia" w:ascii="宋体" w:hAnsi="宋体" w:cs="宋体"/>
                <w:color w:val="000000"/>
                <w:kern w:val="0"/>
                <w:szCs w:val="21"/>
                <w:lang w:val="en-US" w:eastAsia="zh-CN"/>
              </w:rPr>
              <w:t>）</w:t>
            </w:r>
          </w:p>
          <w:p>
            <w:pPr>
              <w:rPr>
                <w:rFonts w:hint="default" w:ascii="宋体"/>
                <w:b/>
                <w:color w:val="0000FF"/>
                <w:szCs w:val="21"/>
                <w:lang w:val="en-US"/>
              </w:rPr>
            </w:pPr>
            <w:r>
              <w:rPr>
                <w:rFonts w:hint="eastAsia" w:ascii="宋体"/>
                <w:b/>
                <w:color w:val="0000FF"/>
                <w:szCs w:val="21"/>
                <w:lang w:val="en-US" w:eastAsia="zh-CN"/>
              </w:rPr>
              <w:t>远程：王宁敏（广东省深圳市）范玲玲（河北省石家庄市）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4616" w:type="dxa"/>
            <w:gridSpan w:val="2"/>
            <w:vMerge w:val="restart"/>
            <w:vAlign w:val="center"/>
          </w:tcPr>
          <w:p>
            <w:bookmarkStart w:id="29" w:name="审核范围"/>
            <w:r>
              <w:t>锂离子电池三元正极材料前驱体的设计和制造相关的能源管理活动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30" w:name="专业代码"/>
            <w:r>
              <w:rPr>
                <w:rFonts w:hint="eastAsia"/>
                <w:lang w:val="en-US" w:eastAsia="zh-CN"/>
              </w:rPr>
              <w:t>2</w:t>
            </w:r>
            <w:r>
              <w:t>.3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49"/>
        <w:gridCol w:w="1422"/>
        <w:gridCol w:w="1011"/>
        <w:gridCol w:w="2411"/>
        <w:gridCol w:w="178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949"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22"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101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411"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84"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949" w:type="dxa"/>
          </w:tcPr>
          <w:p>
            <w:pPr>
              <w:spacing w:before="40" w:after="40"/>
              <w:rPr>
                <w:rFonts w:hint="eastAsia" w:eastAsia="宋体"/>
                <w:szCs w:val="21"/>
                <w:lang w:val="en-US" w:eastAsia="zh-CN"/>
              </w:rPr>
            </w:pPr>
            <w:r>
              <w:rPr>
                <w:rFonts w:hint="eastAsia" w:ascii="宋体" w:hAnsi="宋体" w:cs="宋体"/>
                <w:color w:val="000000"/>
                <w:kern w:val="0"/>
                <w:szCs w:val="21"/>
              </w:rPr>
              <w:t>浙江帕瓦新能源股份有限公司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浙江省诸暨市陶朱街道鸿程路92号</w:t>
            </w:r>
          </w:p>
        </w:tc>
        <w:tc>
          <w:tcPr>
            <w:tcW w:w="1422" w:type="dxa"/>
          </w:tcPr>
          <w:p>
            <w:pPr>
              <w:spacing w:before="40" w:after="40"/>
              <w:rPr>
                <w:rFonts w:eastAsia="黑体"/>
                <w:szCs w:val="21"/>
                <w:lang w:val="de-DE" w:eastAsia="ja-JP"/>
              </w:rPr>
            </w:pPr>
            <w:r>
              <w:rPr>
                <w:rFonts w:hint="eastAsia" w:ascii="宋体" w:hAnsi="宋体" w:cs="宋体"/>
                <w:color w:val="000000"/>
                <w:kern w:val="0"/>
                <w:szCs w:val="21"/>
              </w:rPr>
              <w:t>浙江省诸暨市陶朱街道鸿程路92号</w:t>
            </w:r>
          </w:p>
        </w:tc>
        <w:tc>
          <w:tcPr>
            <w:tcW w:w="1011" w:type="dxa"/>
            <w:vAlign w:val="top"/>
          </w:tcPr>
          <w:p>
            <w:pPr>
              <w:spacing w:before="40" w:after="40"/>
              <w:jc w:val="both"/>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121（企业总人数230）</w:t>
            </w:r>
          </w:p>
        </w:tc>
        <w:tc>
          <w:tcPr>
            <w:tcW w:w="2411" w:type="dxa"/>
            <w:vAlign w:val="top"/>
          </w:tcPr>
          <w:p>
            <w:pPr>
              <w:spacing w:before="40" w:after="40"/>
              <w:jc w:val="both"/>
              <w:rPr>
                <w:rFonts w:hint="eastAsia" w:ascii="宋体" w:hAnsi="宋体" w:cs="宋体"/>
                <w:color w:val="000000"/>
                <w:kern w:val="0"/>
                <w:szCs w:val="21"/>
                <w:lang w:val="en-US" w:eastAsia="ja-JP"/>
              </w:rPr>
            </w:pPr>
            <w:r>
              <w:rPr>
                <w:rFonts w:hint="eastAsia" w:ascii="宋体" w:hAnsi="宋体" w:cs="宋体"/>
                <w:color w:val="000000"/>
                <w:kern w:val="0"/>
                <w:szCs w:val="21"/>
                <w:lang w:val="en-US" w:eastAsia="zh-CN"/>
              </w:rPr>
              <w:t>锂离子电池三元正极材料前驱体的设计和制造相关的能源管理活动</w:t>
            </w:r>
          </w:p>
        </w:tc>
        <w:tc>
          <w:tcPr>
            <w:tcW w:w="1784" w:type="dxa"/>
            <w:vAlign w:val="center"/>
          </w:tcPr>
          <w:p>
            <w:pPr>
              <w:spacing w:before="40" w:after="40"/>
              <w:jc w:val="both"/>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GB/T 23331-2020</w:t>
            </w:r>
          </w:p>
          <w:p>
            <w:pPr>
              <w:spacing w:before="40" w:after="40"/>
              <w:jc w:val="both"/>
              <w:rPr>
                <w:rFonts w:eastAsia="黑体"/>
                <w:szCs w:val="21"/>
                <w:lang w:eastAsia="ja-JP"/>
              </w:rPr>
            </w:pPr>
            <w:r>
              <w:rPr>
                <w:rFonts w:hint="eastAsia" w:ascii="宋体" w:hAnsi="宋体" w:cs="宋体"/>
                <w:color w:val="000000"/>
                <w:kern w:val="0"/>
                <w:szCs w:val="21"/>
                <w:lang w:val="en-US" w:eastAsia="zh-CN"/>
              </w:rPr>
              <w:t>RB/T 114-2014</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48" w:type="dxa"/>
            <w:vAlign w:val="center"/>
          </w:tcPr>
          <w:p>
            <w:r>
              <w:t>周</w:t>
            </w:r>
            <w:r>
              <w:rPr>
                <w:rFonts w:hint="eastAsia"/>
                <w:lang w:val="en-US" w:eastAsia="zh-CN"/>
              </w:rPr>
              <w:t xml:space="preserve">  </w:t>
            </w:r>
            <w:r>
              <w:t>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r>
              <w:rPr>
                <w:rFonts w:hint="eastAsia"/>
                <w:lang w:val="en-US" w:eastAsia="zh-CN"/>
              </w:rPr>
              <w:t>2</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pPr>
              <w:rPr>
                <w:rFonts w:hint="default" w:eastAsia="宋体"/>
                <w:lang w:val="en-US" w:eastAsia="zh-CN"/>
              </w:rPr>
            </w:pPr>
            <w:r>
              <w:rPr>
                <w:rFonts w:hint="eastAsia"/>
                <w:lang w:val="en-US" w:eastAsia="zh-CN"/>
              </w:rPr>
              <w:t>2.3</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48" w:type="dxa"/>
            <w:vAlign w:val="center"/>
          </w:tcPr>
          <w:p>
            <w:r>
              <w:t>范玲玲</w:t>
            </w:r>
          </w:p>
        </w:tc>
        <w:tc>
          <w:tcPr>
            <w:tcW w:w="1089" w:type="dxa"/>
            <w:vAlign w:val="center"/>
          </w:tcPr>
          <w:p>
            <w:r>
              <w:t>组员</w:t>
            </w:r>
          </w:p>
        </w:tc>
        <w:tc>
          <w:tcPr>
            <w:tcW w:w="711" w:type="dxa"/>
            <w:vAlign w:val="center"/>
          </w:tcPr>
          <w:p>
            <w:r>
              <w:t>女</w:t>
            </w:r>
          </w:p>
        </w:tc>
        <w:tc>
          <w:tcPr>
            <w:tcW w:w="3870" w:type="dxa"/>
            <w:vAlign w:val="center"/>
          </w:tcPr>
          <w:p>
            <w:r>
              <w:t>2021-N0EnMS-1024421</w:t>
            </w: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30" w:type="dxa"/>
            <w:vMerge w:val="continue"/>
            <w:shd w:val="clear" w:color="auto" w:fill="auto"/>
          </w:tcPr>
          <w:p/>
        </w:tc>
        <w:tc>
          <w:tcPr>
            <w:tcW w:w="970" w:type="dxa"/>
            <w:shd w:val="clear" w:color="auto" w:fill="auto"/>
          </w:tcPr>
          <w:p>
            <w:r>
              <w:rPr>
                <w:rFonts w:hint="eastAsia"/>
              </w:rPr>
              <w:t>EnMS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0" locked="0" layoutInCell="1" allowOverlap="1">
                  <wp:simplePos x="0" y="0"/>
                  <wp:positionH relativeFrom="column">
                    <wp:posOffset>414655</wp:posOffset>
                  </wp:positionH>
                  <wp:positionV relativeFrom="paragraph">
                    <wp:posOffset>31115</wp:posOffset>
                  </wp:positionV>
                  <wp:extent cx="647700" cy="304800"/>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647700" cy="30480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2022.7.26</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w:t>
            </w:r>
            <w:r>
              <w:rPr>
                <w:rFonts w:hint="eastAsia"/>
                <w:lang w:eastAsia="zh-CN"/>
              </w:rPr>
              <w:t>☑</w:t>
            </w:r>
            <w:r>
              <w:rPr>
                <w:rFonts w:hint="eastAsia"/>
              </w:rPr>
              <w:t>主要用能设备管理□能耗测量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t>□以身作则□建立机制□法规宣传□风险机遇的应对□其他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rPr>
            </w:pPr>
            <w:r>
              <w:rPr>
                <w:rFonts w:hint="eastAsia" w:ascii="Times New Roman" w:hAnsi="Times New Roman" w:eastAsia="宋体" w:cs="Times New Roman"/>
              </w:rPr>
              <w:t>最高管理者制定了文件化的管理体系方针：</w:t>
            </w:r>
            <w:r>
              <w:rPr>
                <w:rFonts w:hint="eastAsia" w:ascii="Times New Roman" w:hAnsi="Times New Roman" w:eastAsia="宋体" w:cs="Times New Roman"/>
                <w:u w:val="single"/>
              </w:rPr>
              <w:t>严格贯彻节能法律法规，履行节能降耗相关要求；提供资源促进节能进步，持续改进能源管理绩效；形成节能降耗长效机制，构建节约环保绿色企业。</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eastAsia="zh-CN"/>
              </w:rPr>
              <w:t>☑</w:t>
            </w:r>
            <w:r>
              <w:rPr>
                <w:rFonts w:hint="eastAsia"/>
              </w:rPr>
              <w:t>能源管理团队</w:t>
            </w:r>
            <w:r>
              <w:rPr>
                <w:rFonts w:hint="eastAsia"/>
                <w:lang w:eastAsia="zh-CN"/>
              </w:rPr>
              <w:t>☑</w:t>
            </w:r>
            <w:r>
              <w:rPr>
                <w:rFonts w:hint="eastAsia"/>
                <w:lang w:val="en-US" w:eastAsia="zh-CN"/>
              </w:rPr>
              <w:t>生产制造部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张冈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停电停水停蒸汽的风险</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制定应急预案</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员工能力不足</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加强培训</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合规义务</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加强培训</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lang w:eastAsia="zh-CN"/>
              </w:rPr>
              <w:t>☑</w:t>
            </w:r>
            <w:r>
              <w:rPr>
                <w:rFonts w:hint="eastAsia"/>
              </w:rPr>
              <w:t>蒸汽□天然气□燃料油□燃料气</w:t>
            </w:r>
            <w:r>
              <w:rPr>
                <w:rFonts w:hint="eastAsia"/>
                <w:lang w:eastAsia="zh-CN"/>
              </w:rPr>
              <w:t>☑</w:t>
            </w:r>
            <w:r>
              <w:rPr>
                <w:rFonts w:hint="eastAsia"/>
              </w:rPr>
              <w:t>电力□氮气□风</w:t>
            </w:r>
            <w:r>
              <w:rPr>
                <w:rFonts w:hint="eastAsia"/>
                <w:lang w:eastAsia="zh-CN"/>
              </w:rPr>
              <w:t>☑</w:t>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t>□单位产品综合能耗□能源消费总量□单位产品蒸汽消耗□单位产品燃料气消耗□加热炉热效率□其他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lang w:eastAsia="zh-CN"/>
              </w:rPr>
              <w:t>☑</w:t>
            </w:r>
            <w:r>
              <w:rPr>
                <w:rFonts w:hint="eastAsia"/>
              </w:rPr>
              <w:t>能源评审报告编号/日期：</w:t>
            </w:r>
            <w:r>
              <w:rPr>
                <w:rFonts w:hint="eastAsia"/>
                <w:lang w:val="en-US" w:eastAsia="zh-CN"/>
              </w:rPr>
              <w:t>2022.7.6</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w:t>
            </w:r>
            <w:r>
              <w:rPr>
                <w:rFonts w:hint="eastAsia"/>
                <w:lang w:eastAsia="zh-CN"/>
              </w:rPr>
              <w:t>☑</w:t>
            </w:r>
            <w:r>
              <w:rPr>
                <w:rFonts w:hint="eastAsia"/>
              </w:rPr>
              <w:t>使用节能设备□主要耗能设备识别及能效测试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rPr>
                <w:rFonts w:hint="eastAsia"/>
              </w:rPr>
            </w:pPr>
            <w:r>
              <w:rPr>
                <w:rFonts w:hint="eastAsia"/>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802"/>
              <w:gridCol w:w="1910"/>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目标</w:t>
                  </w:r>
                </w:p>
              </w:tc>
              <w:tc>
                <w:tcPr>
                  <w:tcW w:w="902"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考核频次</w:t>
                  </w:r>
                </w:p>
              </w:tc>
              <w:tc>
                <w:tcPr>
                  <w:tcW w:w="2306"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计算方法</w:t>
                  </w:r>
                </w:p>
              </w:tc>
              <w:tc>
                <w:tcPr>
                  <w:tcW w:w="3637"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tcPr>
                <w:p>
                  <w:pPr>
                    <w:widowControl/>
                    <w:spacing w:before="40"/>
                    <w:jc w:val="left"/>
                    <w:rPr>
                      <w:rFonts w:hint="eastAsia" w:ascii="Times New Roman" w:hAnsi="Times New Roman" w:eastAsia="宋体" w:cs="Times New Roman"/>
                      <w:color w:val="000000"/>
                      <w:szCs w:val="18"/>
                    </w:rPr>
                  </w:pPr>
                  <w:r>
                    <w:rPr>
                      <w:rFonts w:hint="default" w:ascii="Times New Roman" w:hAnsi="Times New Roman" w:eastAsia="宋体" w:cs="Times New Roman"/>
                      <w:color w:val="000000"/>
                      <w:szCs w:val="18"/>
                      <w:lang w:val="en-US" w:eastAsia="zh-CN"/>
                    </w:rPr>
                    <w:t>202</w:t>
                  </w:r>
                  <w:r>
                    <w:rPr>
                      <w:rFonts w:hint="eastAsia" w:ascii="Times New Roman" w:hAnsi="Times New Roman" w:eastAsia="宋体" w:cs="Times New Roman"/>
                      <w:color w:val="000000"/>
                      <w:szCs w:val="18"/>
                      <w:lang w:val="en-US" w:eastAsia="zh-CN"/>
                    </w:rPr>
                    <w:t>1</w:t>
                  </w:r>
                  <w:r>
                    <w:rPr>
                      <w:rFonts w:hint="default" w:ascii="Times New Roman" w:hAnsi="Times New Roman" w:eastAsia="宋体" w:cs="Times New Roman"/>
                      <w:color w:val="000000"/>
                      <w:szCs w:val="18"/>
                      <w:lang w:val="en-US" w:eastAsia="zh-CN"/>
                    </w:rPr>
                    <w:t>年目标：</w:t>
                  </w:r>
                  <w:r>
                    <w:rPr>
                      <w:rFonts w:hint="eastAsia" w:ascii="Times New Roman" w:hAnsi="Times New Roman" w:eastAsia="宋体" w:cs="Times New Roman"/>
                      <w:color w:val="000000"/>
                      <w:szCs w:val="18"/>
                      <w:lang w:val="en-US" w:eastAsia="zh-CN"/>
                    </w:rPr>
                    <w:t xml:space="preserve">单位产品能耗≦970kgce/t           </w:t>
                  </w:r>
                </w:p>
              </w:tc>
              <w:tc>
                <w:tcPr>
                  <w:tcW w:w="902"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每年</w:t>
                  </w:r>
                </w:p>
              </w:tc>
              <w:tc>
                <w:tcPr>
                  <w:tcW w:w="2306" w:type="dxa"/>
                </w:tcPr>
                <w:p>
                  <w:pPr>
                    <w:widowControl/>
                    <w:spacing w:before="40"/>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年度综合能耗/年产量</w:t>
                  </w:r>
                </w:p>
              </w:tc>
              <w:tc>
                <w:tcPr>
                  <w:tcW w:w="3637" w:type="dxa"/>
                </w:tcPr>
                <w:p>
                  <w:pPr>
                    <w:widowControl/>
                    <w:spacing w:before="40"/>
                    <w:jc w:val="left"/>
                    <w:rPr>
                      <w:rFonts w:hint="eastAsia" w:ascii="Times New Roman" w:hAnsi="Times New Roman" w:eastAsia="宋体" w:cs="Times New Roman"/>
                      <w:color w:val="000000"/>
                      <w:szCs w:val="18"/>
                    </w:rPr>
                  </w:pPr>
                  <w:r>
                    <w:rPr>
                      <w:rFonts w:hint="default" w:ascii="Times New Roman" w:hAnsi="Times New Roman" w:eastAsia="宋体" w:cs="Times New Roman"/>
                      <w:color w:val="000000"/>
                      <w:szCs w:val="18"/>
                      <w:lang w:val="en-US" w:eastAsia="zh-CN"/>
                    </w:rPr>
                    <w:t>202</w:t>
                  </w:r>
                  <w:r>
                    <w:rPr>
                      <w:rFonts w:hint="eastAsia" w:ascii="Times New Roman" w:hAnsi="Times New Roman" w:eastAsia="宋体" w:cs="Times New Roman"/>
                      <w:color w:val="000000"/>
                      <w:szCs w:val="18"/>
                      <w:lang w:val="en-US" w:eastAsia="zh-CN"/>
                    </w:rPr>
                    <w:t>1</w:t>
                  </w:r>
                  <w:r>
                    <w:rPr>
                      <w:rFonts w:hint="default" w:ascii="Times New Roman" w:hAnsi="Times New Roman" w:eastAsia="宋体" w:cs="Times New Roman"/>
                      <w:color w:val="000000"/>
                      <w:szCs w:val="18"/>
                      <w:lang w:val="en-US" w:eastAsia="zh-CN"/>
                    </w:rPr>
                    <w:t>年</w:t>
                  </w:r>
                  <w:r>
                    <w:rPr>
                      <w:rFonts w:hint="eastAsia" w:ascii="Times New Roman" w:hAnsi="Times New Roman" w:eastAsia="宋体" w:cs="Times New Roman"/>
                      <w:color w:val="000000"/>
                      <w:szCs w:val="18"/>
                      <w:lang w:val="en-US" w:eastAsia="zh-CN"/>
                    </w:rPr>
                    <w:t>实际完成：单位产品能耗1070kgce/t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 xml:space="preserve">2022年目标：单位产品能耗≦1070kgce/t；           </w:t>
                  </w:r>
                </w:p>
              </w:tc>
              <w:tc>
                <w:tcPr>
                  <w:tcW w:w="902"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每年</w:t>
                  </w:r>
                </w:p>
              </w:tc>
              <w:tc>
                <w:tcPr>
                  <w:tcW w:w="2306"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年度综合能耗/年产量</w:t>
                  </w:r>
                </w:p>
              </w:tc>
              <w:tc>
                <w:tcPr>
                  <w:tcW w:w="3637"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2022年1-6月份目标完成情况：单位产品能耗944.87kgce/t ；</w:t>
                  </w:r>
                </w:p>
              </w:tc>
            </w:tr>
          </w:tbl>
          <w:p>
            <w:pPr>
              <w:pStyle w:val="2"/>
              <w:rPr>
                <w:rFonts w:hint="eastAsia"/>
              </w:rPr>
            </w:pPr>
          </w:p>
          <w:p>
            <w:pPr>
              <w:shd w:val="clear" w:color="auto" w:fill="EBF1DE" w:themeFill="accent3" w:themeFillTint="32"/>
              <w:rPr>
                <w:rFonts w:hint="eastAsia"/>
              </w:rPr>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66954.35</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6</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2</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1</w:t>
            </w:r>
            <w:r>
              <w:rPr>
                <w:rFonts w:hint="eastAsia" w:ascii="Times New Roman" w:hAnsi="Times New Roman" w:eastAsia="宋体" w:cs="Times New Roman"/>
              </w:rPr>
              <w:t>个；</w:t>
            </w:r>
          </w:p>
          <w:p>
            <w:pPr>
              <w:shd w:val="clear" w:color="auto" w:fill="EBF1DE" w:themeFill="accent3" w:themeFillTint="32"/>
              <w:rPr>
                <w:u w:val="single"/>
              </w:rPr>
            </w:pPr>
            <w:r>
              <w:rPr>
                <w:rFonts w:hint="eastAsia"/>
              </w:rPr>
              <w:t>主要生产设备有：</w:t>
            </w:r>
            <w:r>
              <w:rPr>
                <w:rFonts w:hint="eastAsia" w:ascii="Times New Roman" w:hAnsi="Times New Roman" w:eastAsia="宋体" w:cs="Times New Roman"/>
                <w:u w:val="single"/>
                <w:lang w:val="en-US" w:eastAsia="zh-CN"/>
              </w:rPr>
              <w:t>陈化釜、反应釜及溶解釜</w:t>
            </w:r>
            <w:r>
              <w:rPr>
                <w:rFonts w:hint="eastAsia" w:ascii="Times New Roman" w:hAnsi="Times New Roman" w:eastAsia="宋体" w:cs="Times New Roman"/>
                <w:u w:val="single"/>
              </w:rPr>
              <w:t>（</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ascii="Times New Roman" w:hAnsi="Times New Roman" w:eastAsia="宋体" w:cs="Times New Roman"/>
                <w:u w:val="single"/>
                <w:lang w:val="en-US" w:eastAsia="zh-CN"/>
              </w:rPr>
              <w:t>陈化釜、反应釜及溶解釜、空压机</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u w:val="single"/>
              </w:rPr>
              <w:t>（列举1~4种）</w:t>
            </w:r>
          </w:p>
          <w:p>
            <w:pPr>
              <w:rPr>
                <w:u w:val="single"/>
              </w:rPr>
            </w:pPr>
            <w:r>
              <w:rPr>
                <w:rFonts w:hint="eastAsia" w:ascii="Times New Roman" w:hAnsi="Times New Roman" w:eastAsia="宋体" w:cs="Times New Roman"/>
              </w:rPr>
              <w:t>计量器具管理：</w:t>
            </w:r>
            <w:r>
              <w:rPr>
                <w:rFonts w:hint="eastAsia" w:ascii="Times New Roman" w:hAnsi="Times New Roman" w:eastAsia="宋体" w:cs="Times New Roman"/>
                <w:lang w:eastAsia="zh-CN"/>
              </w:rPr>
              <w:t>□</w:t>
            </w:r>
            <w:r>
              <w:rPr>
                <w:rFonts w:hint="eastAsia" w:ascii="Times New Roman" w:hAnsi="Times New Roman" w:eastAsia="宋体" w:cs="Times New Roman"/>
              </w:rPr>
              <w:t>进行了定期校准/检定</w:t>
            </w:r>
            <w:r>
              <w:rPr>
                <w:rFonts w:hint="eastAsia" w:ascii="Times New Roman" w:hAnsi="Times New Roman" w:eastAsia="宋体" w:cs="Times New Roman"/>
                <w:lang w:eastAsia="zh-CN"/>
              </w:rPr>
              <w:t>☑</w:t>
            </w:r>
            <w:r>
              <w:rPr>
                <w:rFonts w:hint="eastAsia" w:ascii="Times New Roman" w:hAnsi="Times New Roman" w:eastAsia="宋体" w:cs="Times New Roman"/>
              </w:rPr>
              <w:t>未进行定期校准/检定的有：</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一级电度计量表由电业局负责管理，水表由供水部门管理；已建议企业向供方索取校检证书）。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组织为满足节能管理的要求，已对用能过程建立了相应的运行准则；按照运行准则实施过程控制。策划文件包括：</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操作规程</w:t>
            </w:r>
            <w:r>
              <w:rPr>
                <w:rFonts w:hint="eastAsia" w:ascii="Times New Roman" w:hAnsi="Times New Roman" w:eastAsia="宋体" w:cs="Times New Roman"/>
                <w:lang w:eastAsia="zh-CN"/>
              </w:rPr>
              <w:t>☑</w:t>
            </w:r>
            <w:r>
              <w:rPr>
                <w:rFonts w:hint="eastAsia" w:ascii="Times New Roman" w:hAnsi="Times New Roman" w:eastAsia="宋体" w:cs="Times New Roman"/>
              </w:rPr>
              <w:t>作业文件</w:t>
            </w:r>
            <w:r>
              <w:rPr>
                <w:rFonts w:hint="eastAsia" w:ascii="Times New Roman" w:hAnsi="Times New Roman" w:eastAsia="宋体" w:cs="Times New Roman"/>
                <w:lang w:eastAsia="zh-CN"/>
              </w:rPr>
              <w:t>☑</w:t>
            </w:r>
            <w:r>
              <w:rPr>
                <w:rFonts w:hint="eastAsia" w:ascii="Times New Roman" w:hAnsi="Times New Roman" w:eastAsia="宋体" w:cs="Times New Roman"/>
              </w:rPr>
              <w:t>工艺卡片</w:t>
            </w:r>
            <w:r>
              <w:rPr>
                <w:rFonts w:hint="eastAsia" w:ascii="Times New Roman" w:hAnsi="Times New Roman" w:eastAsia="宋体" w:cs="Times New Roman"/>
                <w:lang w:eastAsia="zh-CN"/>
              </w:rPr>
              <w:t>☑</w:t>
            </w:r>
            <w:r>
              <w:rPr>
                <w:rFonts w:hint="eastAsia" w:ascii="Times New Roman" w:hAnsi="Times New Roman" w:eastAsia="宋体" w:cs="Times New Roman"/>
              </w:rPr>
              <w:t>接收准则</w:t>
            </w:r>
            <w:r>
              <w:rPr>
                <w:rFonts w:hint="eastAsia" w:ascii="Times New Roman" w:hAnsi="Times New Roman" w:eastAsia="宋体" w:cs="Times New Roman"/>
                <w:lang w:eastAsia="zh-CN"/>
              </w:rPr>
              <w:t>☑</w:t>
            </w:r>
            <w:r>
              <w:rPr>
                <w:rFonts w:hint="eastAsia" w:ascii="Times New Roman" w:hAnsi="Times New Roman" w:eastAsia="宋体" w:cs="Times New Roman"/>
              </w:rPr>
              <w:t>工艺流程图</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rPr>
                <w:highlight w:val="yellow"/>
              </w:rPr>
            </w:pPr>
            <w:r>
              <w:rPr>
                <w:rFonts w:hint="eastAsia" w:ascii="Times New Roman" w:hAnsi="Times New Roman" w:eastAsia="宋体" w:cs="Times New Roman"/>
              </w:rPr>
              <w:t>审核期间内，设计和开发新产品/项目名称：</w:t>
            </w:r>
            <w:r>
              <w:rPr>
                <w:rFonts w:hint="eastAsia" w:ascii="Times New Roman" w:hAnsi="Times New Roman" w:eastAsia="宋体" w:cs="Times New Roman"/>
                <w:lang w:eastAsia="zh-CN"/>
              </w:rPr>
              <w:t>“</w:t>
            </w:r>
            <w:r>
              <w:rPr>
                <w:rFonts w:hint="eastAsia"/>
                <w:u w:val="single"/>
              </w:rPr>
              <w:t>洗涤进料，料、水管道分离</w:t>
            </w:r>
            <w:r>
              <w:rPr>
                <w:rFonts w:hint="eastAsia"/>
                <w:u w:val="single"/>
                <w:lang w:eastAsia="zh-CN"/>
              </w:rPr>
              <w:t>”</w:t>
            </w:r>
            <w:r>
              <w:rPr>
                <w:rFonts w:hint="eastAsia"/>
                <w:u w:val="single"/>
                <w:lang w:val="en-US" w:eastAsia="zh-CN"/>
              </w:rPr>
              <w:t>项目，</w:t>
            </w:r>
            <w:r>
              <w:rPr>
                <w:rFonts w:hint="eastAsia"/>
                <w:u w:val="single"/>
              </w:rPr>
              <w:t>将料、水共用管道，改为料、水管道分开，降低冲洗管道量</w:t>
            </w:r>
            <w:r>
              <w:rPr>
                <w:rFonts w:hint="eastAsia"/>
                <w:u w:val="single"/>
                <w:lang w:eastAsia="zh-CN"/>
              </w:rPr>
              <w:t>，</w:t>
            </w:r>
            <w:r>
              <w:rPr>
                <w:rFonts w:hint="eastAsia" w:ascii="Times New Roman" w:hAnsi="Times New Roman" w:eastAsia="宋体" w:cs="Times New Roman"/>
                <w:u w:val="single"/>
              </w:rPr>
              <w:t>年节能量</w:t>
            </w:r>
            <w:r>
              <w:rPr>
                <w:u w:val="single"/>
              </w:rPr>
              <w:t>14.09</w:t>
            </w:r>
            <w:r>
              <w:rPr>
                <w:rFonts w:hint="eastAsia" w:ascii="Times New Roman" w:hAnsi="Times New Roman" w:eastAsia="宋体" w:cs="Times New Roman"/>
                <w:u w:val="single"/>
              </w:rPr>
              <w:t>（吨标煤）</w:t>
            </w:r>
            <w:r>
              <w:rPr>
                <w:rFonts w:hint="eastAsia" w:ascii="Times New Roman" w:hAnsi="Times New Roman" w:eastAsia="宋体" w:cs="Times New Roman"/>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lang w:eastAsia="zh-CN"/>
              </w:rPr>
              <w:t>□</w:t>
            </w:r>
            <w:r>
              <w:rPr>
                <w:rFonts w:hint="eastAsia"/>
              </w:rPr>
              <w:t>能源采购</w:t>
            </w:r>
            <w:r>
              <w:rPr>
                <w:rFonts w:hint="eastAsia"/>
                <w:lang w:eastAsia="zh-CN"/>
              </w:rPr>
              <w:t>□</w:t>
            </w:r>
            <w:r>
              <w:rPr>
                <w:rFonts w:hint="eastAsia"/>
              </w:rPr>
              <w:t>主要用能设备采购</w:t>
            </w:r>
            <w:r>
              <w:rPr>
                <w:rFonts w:hint="eastAsia"/>
                <w:lang w:eastAsia="zh-CN"/>
              </w:rPr>
              <w:t>□</w:t>
            </w:r>
            <w:r>
              <w:rPr>
                <w:rFonts w:hint="eastAsia"/>
              </w:rPr>
              <w:t>淘汰落后设备更新</w:t>
            </w:r>
            <w:r>
              <w:rPr>
                <w:rFonts w:hint="eastAsia"/>
                <w:lang w:eastAsia="zh-CN"/>
              </w:rPr>
              <w:t>□</w:t>
            </w:r>
            <w:r>
              <w:rPr>
                <w:rFonts w:hint="eastAsia"/>
              </w:rPr>
              <w:t>能源计量器具采购</w:t>
            </w:r>
            <w:r>
              <w:rPr>
                <w:rFonts w:hint="eastAsia"/>
                <w:lang w:eastAsia="zh-CN"/>
              </w:rPr>
              <w:t>□</w:t>
            </w:r>
            <w:r>
              <w:rPr>
                <w:rFonts w:hint="eastAsia"/>
              </w:rPr>
              <w:t>其他</w:t>
            </w:r>
          </w:p>
          <w:p>
            <w:pPr>
              <w:shd w:val="clear" w:color="auto" w:fill="EBF1DE" w:themeFill="accent3" w:themeFillTint="32"/>
              <w:jc w:val="left"/>
            </w:pPr>
            <w:r>
              <w:rPr>
                <w:rFonts w:hint="eastAsia"/>
              </w:rPr>
              <w:t>控制方式：</w:t>
            </w:r>
            <w:r>
              <w:rPr>
                <w:rFonts w:hint="eastAsia"/>
                <w:lang w:eastAsia="zh-CN"/>
              </w:rPr>
              <w:t>□</w:t>
            </w:r>
            <w:r>
              <w:rPr>
                <w:rFonts w:hint="eastAsia"/>
              </w:rPr>
              <w:t>合同约定</w:t>
            </w:r>
            <w:r>
              <w:rPr>
                <w:rFonts w:hint="eastAsia"/>
                <w:lang w:eastAsia="zh-CN"/>
              </w:rPr>
              <w:t>□</w:t>
            </w:r>
            <w:r>
              <w:rPr>
                <w:rFonts w:hint="eastAsia"/>
              </w:rPr>
              <w:t>现场检查</w:t>
            </w:r>
            <w:r>
              <w:rPr>
                <w:rFonts w:hint="eastAsia"/>
                <w:lang w:eastAsia="zh-CN"/>
              </w:rPr>
              <w:t>□</w:t>
            </w:r>
            <w:r>
              <w:rPr>
                <w:rFonts w:hint="eastAsia"/>
              </w:rPr>
              <w:t>其他</w:t>
            </w:r>
          </w:p>
          <w:p>
            <w:pPr>
              <w:shd w:val="clear" w:color="auto" w:fill="EBF1DE" w:themeFill="accent3" w:themeFillTint="32"/>
              <w:jc w:val="left"/>
              <w:rPr>
                <w:rFonts w:hint="eastAsia"/>
              </w:rPr>
            </w:pPr>
            <w:r>
              <w:rPr>
                <w:rFonts w:hint="eastAsia"/>
              </w:rPr>
              <w:t>对外部供方的控制：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加强管理，杜绝跑冒滴漏</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pPr>
                  <w:r>
                    <w:rPr>
                      <w:rFonts w:hint="eastAsia"/>
                      <w:lang w:val="en-US" w:eastAsia="zh-CN"/>
                    </w:rPr>
                    <w:t>加强节电管理，定期检查</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日实施了能源管理体系内部审核，对能源管理体系的符合性和有效性进行了审核。内审发现的项不符合在本次审核前已完成整改。在公司内完成的这些审核是可信的。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24</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97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38"/>
        <w:gridCol w:w="738"/>
        <w:gridCol w:w="738"/>
        <w:gridCol w:w="738"/>
        <w:gridCol w:w="738"/>
        <w:gridCol w:w="738"/>
        <w:gridCol w:w="738"/>
        <w:gridCol w:w="738"/>
        <w:gridCol w:w="738"/>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3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8"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38" w:type="dxa"/>
            <w:shd w:val="clear" w:color="auto" w:fill="EBF1DE" w:themeFill="accent3" w:themeFillTint="32"/>
            <w:vAlign w:val="center"/>
          </w:tcPr>
          <w:p>
            <w:pPr>
              <w:shd w:val="clear" w:color="auto" w:fill="EBF1DE" w:themeFill="accent3" w:themeFillTint="32"/>
            </w:pPr>
            <w:r>
              <w:rPr>
                <w:rFonts w:hint="eastAsia"/>
              </w:rPr>
              <w:t>7.2</w:t>
            </w:r>
          </w:p>
        </w:tc>
        <w:tc>
          <w:tcPr>
            <w:tcW w:w="738" w:type="dxa"/>
            <w:shd w:val="clear" w:color="auto" w:fill="EBF1DE" w:themeFill="accent3" w:themeFillTint="32"/>
            <w:vAlign w:val="center"/>
          </w:tcPr>
          <w:p>
            <w:pPr>
              <w:shd w:val="clear" w:color="auto" w:fill="EBF1DE" w:themeFill="accent3" w:themeFillTint="32"/>
            </w:pPr>
            <w:r>
              <w:rPr>
                <w:rFonts w:hint="eastAsia"/>
              </w:rPr>
              <w:t>7.3</w:t>
            </w:r>
          </w:p>
        </w:tc>
        <w:tc>
          <w:tcPr>
            <w:tcW w:w="738" w:type="dxa"/>
            <w:shd w:val="clear" w:color="auto" w:fill="EBF1DE" w:themeFill="accent3" w:themeFillTint="32"/>
            <w:vAlign w:val="center"/>
          </w:tcPr>
          <w:p>
            <w:pPr>
              <w:shd w:val="clear" w:color="auto" w:fill="EBF1DE" w:themeFill="accent3" w:themeFillTint="32"/>
            </w:pPr>
            <w:r>
              <w:rPr>
                <w:rFonts w:hint="eastAsia"/>
              </w:rPr>
              <w:t>7.4</w:t>
            </w:r>
          </w:p>
        </w:tc>
        <w:tc>
          <w:tcPr>
            <w:tcW w:w="738" w:type="dxa"/>
            <w:shd w:val="clear" w:color="auto" w:fill="EBF1DE" w:themeFill="accent3" w:themeFillTint="32"/>
            <w:vAlign w:val="center"/>
          </w:tcPr>
          <w:p>
            <w:pPr>
              <w:shd w:val="clear" w:color="auto" w:fill="EBF1DE" w:themeFill="accent3" w:themeFillTint="32"/>
            </w:pPr>
            <w:r>
              <w:rPr>
                <w:rFonts w:hint="eastAsia"/>
              </w:rPr>
              <w:t>7.5</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38"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38" w:type="dxa"/>
            <w:shd w:val="clear" w:color="auto" w:fill="EBF1DE" w:themeFill="accent3" w:themeFillTint="32"/>
            <w:vAlign w:val="center"/>
          </w:tcPr>
          <w:p>
            <w:pPr>
              <w:shd w:val="clear" w:color="auto" w:fill="EBF1DE" w:themeFill="accent3" w:themeFillTint="32"/>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38" w:type="dxa"/>
            <w:shd w:val="clear" w:color="auto" w:fill="EBF1DE" w:themeFill="accent3" w:themeFillTint="32"/>
            <w:vAlign w:val="center"/>
          </w:tcPr>
          <w:p>
            <w:pPr>
              <w:shd w:val="clear" w:color="auto" w:fill="EBF1DE" w:themeFill="accent3" w:themeFillTint="32"/>
            </w:pPr>
            <w:r>
              <w:rPr>
                <w:rFonts w:hint="eastAsia"/>
              </w:rPr>
              <w:t>8.3</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38"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3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8"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38"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62023D3"/>
    <w:rsid w:val="7AD249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2</TotalTime>
  <ScaleCrop>false</ScaleCrop>
  <LinksUpToDate>false</LinksUpToDate>
  <CharactersWithSpaces>26902</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开门大吉～ISO认证服务</cp:lastModifiedBy>
  <cp:lastPrinted>2019-05-13T03:19:00Z</cp:lastPrinted>
  <dcterms:modified xsi:type="dcterms:W3CDTF">2022-08-02T11:11:15Z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2052-11.1.0.11435</vt:lpwstr>
  </property>
</Properties>
</file>