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63"/>
        <w:gridCol w:w="993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3"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39" w:type="dxa"/>
            <w:vAlign w:val="center"/>
          </w:tcPr>
          <w:p>
            <w:pPr>
              <w:rPr>
                <w:rFonts w:hint="default" w:eastAsia="宋体"/>
                <w:sz w:val="24"/>
                <w:szCs w:val="24"/>
                <w:lang w:val="en-US" w:eastAsia="zh-CN"/>
              </w:rPr>
            </w:pPr>
            <w:r>
              <w:rPr>
                <w:rFonts w:hint="eastAsia"/>
                <w:sz w:val="24"/>
                <w:szCs w:val="24"/>
              </w:rPr>
              <w:t xml:space="preserve">受审核部门：办公室 </w:t>
            </w:r>
            <w:r>
              <w:rPr>
                <w:sz w:val="24"/>
                <w:szCs w:val="24"/>
              </w:rPr>
              <w:t xml:space="preserve">  </w:t>
            </w:r>
            <w:r>
              <w:rPr>
                <w:rFonts w:hint="eastAsia"/>
                <w:sz w:val="24"/>
                <w:szCs w:val="24"/>
              </w:rPr>
              <w:t>主管领导：</w:t>
            </w:r>
            <w:r>
              <w:rPr>
                <w:rFonts w:hint="eastAsia"/>
                <w:sz w:val="24"/>
                <w:szCs w:val="24"/>
                <w:lang w:val="en-US" w:eastAsia="zh-CN"/>
              </w:rPr>
              <w:t>曹玉婷</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严新华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1063" w:type="dxa"/>
            <w:vMerge w:val="continue"/>
            <w:vAlign w:val="center"/>
          </w:tcPr>
          <w:p/>
        </w:tc>
        <w:tc>
          <w:tcPr>
            <w:tcW w:w="9939" w:type="dxa"/>
            <w:vAlign w:val="center"/>
          </w:tcPr>
          <w:p>
            <w:pPr>
              <w:spacing w:before="120"/>
              <w:rPr>
                <w:sz w:val="24"/>
                <w:szCs w:val="24"/>
              </w:rPr>
            </w:pPr>
            <w:r>
              <w:rPr>
                <w:rFonts w:hint="eastAsia"/>
                <w:sz w:val="24"/>
                <w:szCs w:val="24"/>
              </w:rPr>
              <w:t>审核员：</w:t>
            </w:r>
            <w:r>
              <w:rPr>
                <w:rFonts w:hint="eastAsia"/>
                <w:sz w:val="24"/>
                <w:szCs w:val="24"/>
                <w:lang w:val="en-US" w:eastAsia="zh-CN"/>
              </w:rPr>
              <w:t>张磊</w:t>
            </w:r>
            <w:r>
              <w:rPr>
                <w:rFonts w:hint="eastAsia" w:ascii="宋体" w:hAnsi="宋体" w:cs="Arial"/>
                <w:szCs w:val="21"/>
              </w:rPr>
              <w:t>、</w:t>
            </w:r>
            <w:r>
              <w:rPr>
                <w:rFonts w:hint="eastAsia" w:ascii="宋体" w:hAnsi="宋体" w:cs="Arial"/>
                <w:szCs w:val="21"/>
                <w:lang w:val="en-US" w:eastAsia="zh-CN"/>
              </w:rPr>
              <w:t xml:space="preserve">方小娥 </w:t>
            </w:r>
            <w:r>
              <w:rPr>
                <w:rFonts w:hint="eastAsia" w:ascii="宋体" w:hAnsi="宋体" w:cs="Arial"/>
                <w:szCs w:val="21"/>
              </w:rPr>
              <w:t xml:space="preserve"> </w:t>
            </w:r>
            <w:r>
              <w:rPr>
                <w:rFonts w:hint="eastAsia" w:ascii="宋体" w:hAnsi="宋体"/>
                <w:b/>
                <w:bCs/>
                <w:sz w:val="21"/>
                <w:szCs w:val="21"/>
                <w:lang w:val="en-US" w:eastAsia="zh-CN"/>
              </w:rPr>
              <w:t>(远程审核使用微信进行沟通取证）</w:t>
            </w:r>
            <w:r>
              <w:rPr>
                <w:sz w:val="18"/>
                <w:szCs w:val="18"/>
              </w:rPr>
              <w:t xml:space="preserve"> </w:t>
            </w:r>
            <w:r>
              <w:rPr>
                <w:rFonts w:hint="eastAsia"/>
                <w:sz w:val="24"/>
                <w:szCs w:val="24"/>
              </w:rPr>
              <w:t>审核时间：2</w:t>
            </w:r>
            <w:r>
              <w:rPr>
                <w:sz w:val="24"/>
                <w:szCs w:val="24"/>
              </w:rPr>
              <w:t>02</w:t>
            </w:r>
            <w:r>
              <w:rPr>
                <w:rFonts w:hint="eastAsia"/>
                <w:sz w:val="24"/>
                <w:szCs w:val="24"/>
                <w:lang w:val="en-US" w:eastAsia="zh-CN"/>
              </w:rPr>
              <w:t>2</w:t>
            </w:r>
            <w:r>
              <w:rPr>
                <w:sz w:val="24"/>
                <w:szCs w:val="24"/>
              </w:rPr>
              <w:t>.</w:t>
            </w:r>
            <w:r>
              <w:rPr>
                <w:rFonts w:hint="eastAsia"/>
                <w:sz w:val="24"/>
                <w:szCs w:val="24"/>
                <w:lang w:val="en-US" w:eastAsia="zh-CN"/>
              </w:rPr>
              <w:t>7</w:t>
            </w:r>
            <w:r>
              <w:rPr>
                <w:sz w:val="24"/>
                <w:szCs w:val="24"/>
              </w:rPr>
              <w:t>.</w:t>
            </w:r>
            <w:r>
              <w:rPr>
                <w:rFonts w:hint="eastAsia"/>
                <w:sz w:val="24"/>
                <w:szCs w:val="24"/>
                <w:lang w:val="en-US" w:eastAsia="zh-CN"/>
              </w:rPr>
              <w:t>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1063" w:type="dxa"/>
            <w:vMerge w:val="continue"/>
            <w:vAlign w:val="center"/>
          </w:tcPr>
          <w:p/>
        </w:tc>
        <w:tc>
          <w:tcPr>
            <w:tcW w:w="9939" w:type="dxa"/>
            <w:vAlign w:val="center"/>
          </w:tcPr>
          <w:p>
            <w:pPr>
              <w:spacing w:line="300" w:lineRule="exact"/>
              <w:rPr>
                <w:rFonts w:hint="eastAsia"/>
                <w:sz w:val="21"/>
                <w:szCs w:val="21"/>
              </w:rPr>
            </w:pPr>
            <w:r>
              <w:rPr>
                <w:rFonts w:hint="eastAsia"/>
                <w:sz w:val="24"/>
                <w:szCs w:val="24"/>
              </w:rPr>
              <w:t>审核条款</w:t>
            </w:r>
          </w:p>
          <w:p>
            <w:pPr>
              <w:spacing w:line="300" w:lineRule="exact"/>
              <w:rPr>
                <w:rFonts w:hint="eastAsia" w:ascii="宋体" w:hAnsi="宋体" w:cs="新宋体"/>
                <w:sz w:val="18"/>
                <w:szCs w:val="18"/>
              </w:rPr>
            </w:pP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/权限；6.2质量目标及其实现的策划；7.1.2人员； 7.1.6组织知识；7.2能力；7.3意识；7.5文件化信息</w:t>
            </w:r>
            <w:r>
              <w:rPr>
                <w:rFonts w:hint="eastAsia" w:ascii="宋体" w:hAnsi="宋体" w:cs="新宋体"/>
                <w:sz w:val="18"/>
                <w:szCs w:val="18"/>
                <w:lang w:eastAsia="zh-CN"/>
              </w:rPr>
              <w:t>；</w:t>
            </w:r>
            <w:r>
              <w:rPr>
                <w:rFonts w:hint="eastAsia" w:ascii="宋体" w:hAnsi="宋体" w:cs="新宋体"/>
                <w:sz w:val="18"/>
                <w:szCs w:val="18"/>
              </w:rPr>
              <w:t>9.2内部审核；10.2纠正措施；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6.1.3合规义务；6.2目标及其达成的策划；7.2能力；7.3意识；7.5文件化信息；8.1运行策划和控制；8.2应急准备和响应；9.1.1监视、测量、分析和评价总则；9.1.2合规性评价；9.2内部审核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snapToGrid w:val="0"/>
              <w:spacing w:line="280" w:lineRule="exact"/>
              <w:jc w:val="left"/>
              <w:rPr>
                <w:sz w:val="24"/>
                <w:szCs w:val="24"/>
              </w:rPr>
            </w:pPr>
            <w:r>
              <w:rPr>
                <w:rFonts w:hint="eastAsia" w:ascii="宋体" w:hAnsi="宋体" w:cs="新宋体"/>
                <w:sz w:val="18"/>
                <w:szCs w:val="18"/>
              </w:rPr>
              <w:t>5.3组织的角色、职责和权限；6.1.3法律法规要求和其他要求；6.1.2危险源辨识和职业安全风险评价； 6.2目标及其实现的策划；7.2能力；7.3意识；7.4信息和沟通；7.5文件化信息；8.1运行策划和控制；8.2应急准备和响应；；9.1.1监视、测量、分析和评价总则 9.1.2合规性评价；9.2内部审核</w:t>
            </w:r>
            <w:r>
              <w:rPr>
                <w:rFonts w:hint="eastAsia" w:ascii="宋体" w:hAnsi="宋体" w:cs="新宋体"/>
                <w:sz w:val="18"/>
                <w:szCs w:val="18"/>
                <w:lang w:eastAsia="zh-CN"/>
              </w:rPr>
              <w:t>；</w:t>
            </w:r>
            <w:r>
              <w:rPr>
                <w:rFonts w:hint="eastAsia" w:ascii="宋体" w:hAnsi="宋体" w:cs="新宋体"/>
                <w:sz w:val="18"/>
                <w:szCs w:val="18"/>
              </w:rPr>
              <w:t>10.2事件、不符合和纠正措施；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宋体" w:hAnsi="宋体" w:cs="宋体"/>
                <w:szCs w:val="21"/>
              </w:rPr>
            </w:pPr>
            <w:r>
              <w:rPr>
                <w:rFonts w:hint="eastAsia" w:ascii="宋体" w:hAnsi="宋体" w:cs="宋体"/>
                <w:szCs w:val="21"/>
              </w:rPr>
              <w:t>组织的岗位、职责和权限</w:t>
            </w:r>
          </w:p>
          <w:p>
            <w:pPr>
              <w:spacing w:line="280" w:lineRule="exact"/>
              <w:rPr>
                <w:rFonts w:hint="eastAsia" w:ascii="宋体" w:hAnsi="宋体" w:cs="宋体"/>
                <w:szCs w:val="21"/>
              </w:rPr>
            </w:pPr>
          </w:p>
        </w:tc>
        <w:tc>
          <w:tcPr>
            <w:tcW w:w="1063" w:type="dxa"/>
          </w:tcPr>
          <w:p>
            <w:pPr>
              <w:spacing w:line="280" w:lineRule="exact"/>
              <w:rPr>
                <w:rFonts w:hint="eastAsia" w:ascii="宋体" w:hAnsi="宋体" w:cs="宋体"/>
                <w:szCs w:val="21"/>
              </w:rPr>
            </w:pPr>
            <w:r>
              <w:rPr>
                <w:rFonts w:ascii="宋体" w:cs="宋体"/>
                <w:szCs w:val="21"/>
              </w:rPr>
              <w:t>QE</w:t>
            </w:r>
            <w:r>
              <w:rPr>
                <w:szCs w:val="21"/>
              </w:rPr>
              <w:t>O</w:t>
            </w:r>
            <w:r>
              <w:rPr>
                <w:rFonts w:ascii="宋体" w:cs="宋体"/>
                <w:szCs w:val="21"/>
              </w:rPr>
              <w:t>5.3</w:t>
            </w:r>
          </w:p>
        </w:tc>
        <w:tc>
          <w:tcPr>
            <w:tcW w:w="9939"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办公室按照公司领导要求，做好公司职能和岗位的具体确定，对从事</w:t>
            </w:r>
            <w:r>
              <w:rPr>
                <w:rFonts w:hint="eastAsia" w:ascii="宋体" w:hAnsi="宋体" w:cs="宋体"/>
                <w:szCs w:val="21"/>
                <w:lang w:val="en-US" w:eastAsia="zh-CN"/>
              </w:rPr>
              <w:t>的人</w:t>
            </w:r>
            <w:r>
              <w:rPr>
                <w:rFonts w:hint="eastAsia" w:ascii="宋体" w:hAnsi="宋体" w:cs="宋体"/>
                <w:szCs w:val="21"/>
              </w:rPr>
              <w:t>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办公室本部门人员较为简单，在手册中确定了办公室部门职责、权限和相互关系。</w:t>
            </w:r>
          </w:p>
          <w:p>
            <w:pPr>
              <w:spacing w:line="280" w:lineRule="exact"/>
              <w:ind w:firstLine="420" w:firstLineChars="200"/>
              <w:rPr>
                <w:rFonts w:hint="eastAsia" w:ascii="宋体" w:hAnsi="宋体" w:cs="宋体"/>
                <w:szCs w:val="21"/>
              </w:rPr>
            </w:pPr>
            <w:r>
              <w:rPr>
                <w:rFonts w:hint="eastAsia" w:ascii="宋体" w:hAnsi="宋体" w:cs="宋体"/>
                <w:szCs w:val="21"/>
              </w:rPr>
              <w:t>询问办公室人员，基本清楚本部门职责。</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eastAsia" w:ascii="宋体" w:hAnsi="宋体" w:cs="宋体"/>
                <w:szCs w:val="21"/>
              </w:rPr>
            </w:pPr>
            <w:r>
              <w:rPr>
                <w:rFonts w:hint="eastAsia" w:asciiTheme="minorEastAsia" w:hAnsiTheme="minorEastAsia" w:eastAsiaTheme="minorEastAsia" w:cstheme="minorEastAsia"/>
                <w:b w:val="0"/>
                <w:bCs w:val="0"/>
                <w:sz w:val="21"/>
                <w:szCs w:val="21"/>
                <w:lang w:val="en-US" w:eastAsia="zh-CN"/>
              </w:rPr>
              <w:t>应对风险和机遇的措施</w:t>
            </w:r>
          </w:p>
        </w:tc>
        <w:tc>
          <w:tcPr>
            <w:tcW w:w="1063" w:type="dxa"/>
          </w:tcPr>
          <w:p>
            <w:pPr>
              <w:spacing w:line="280" w:lineRule="exact"/>
              <w:rPr>
                <w:rFonts w:hint="eastAsia"/>
                <w:szCs w:val="21"/>
              </w:rPr>
            </w:pPr>
            <w:r>
              <w:rPr>
                <w:rFonts w:hint="eastAsia" w:asciiTheme="minorEastAsia" w:hAnsiTheme="minorEastAsia" w:eastAsiaTheme="minorEastAsia" w:cstheme="minorEastAsia"/>
                <w:b w:val="0"/>
                <w:bCs w:val="0"/>
                <w:sz w:val="21"/>
                <w:szCs w:val="21"/>
                <w:lang w:val="en-US" w:eastAsia="zh-CN"/>
              </w:rPr>
              <w:t>6.1</w:t>
            </w:r>
          </w:p>
        </w:tc>
        <w:tc>
          <w:tcPr>
            <w:tcW w:w="9939" w:type="dxa"/>
            <w:vAlign w:val="center"/>
          </w:tcPr>
          <w:p>
            <w:pPr>
              <w:ind w:firstLine="420" w:firstLineChars="200"/>
              <w:rPr>
                <w:rFonts w:ascii="宋体" w:hAnsi="宋体" w:cs="Arial"/>
                <w:szCs w:val="21"/>
              </w:rPr>
            </w:pPr>
            <w:r>
              <w:rPr>
                <w:rFonts w:hint="eastAsia" w:ascii="宋体" w:hAnsi="宋体" w:cs="Arial"/>
                <w:szCs w:val="21"/>
              </w:rPr>
              <w:t>公司编制了《风险和机遇的应对控制程序》对风险和机遇管理进行了明确。对以下风险和机遇进行识别并明确了措施：</w:t>
            </w:r>
          </w:p>
          <w:p>
            <w:pPr>
              <w:ind w:firstLine="420" w:firstLineChars="200"/>
              <w:rPr>
                <w:rFonts w:ascii="宋体" w:hAnsi="宋体" w:cs="Arial"/>
                <w:szCs w:val="21"/>
              </w:rPr>
            </w:pPr>
            <w:r>
              <w:rPr>
                <w:rFonts w:hint="eastAsia" w:ascii="宋体" w:hAnsi="宋体" w:cs="Arial"/>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ind w:firstLine="420" w:firstLineChars="200"/>
              <w:rPr>
                <w:rFonts w:ascii="宋体" w:hAnsi="宋体" w:cs="Arial"/>
                <w:szCs w:val="21"/>
              </w:rPr>
            </w:pPr>
            <w:r>
              <w:rPr>
                <w:rFonts w:hint="eastAsia" w:ascii="宋体" w:hAnsi="宋体" w:cs="Arial"/>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ind w:firstLine="420" w:firstLineChars="200"/>
              <w:rPr>
                <w:rFonts w:ascii="宋体" w:hAnsi="宋体" w:cs="Arial"/>
                <w:szCs w:val="21"/>
                <w:highlight w:val="none"/>
              </w:rPr>
            </w:pPr>
            <w:r>
              <w:rPr>
                <w:rFonts w:hint="eastAsia" w:ascii="宋体" w:hAnsi="宋体" w:cs="Arial"/>
                <w:szCs w:val="21"/>
              </w:rPr>
              <w:t>3.在策划管理体系时考虑了风险和机遇以及相应的应对措施，制定了ST-P-22-2021《风险和机遇的应对控制程序》，明确风险和机遇事件的识别方法/途径、风险和机遇事件的评估方式、制定主要风险和机遇事件的应对措施的要求、评价这些措施有效性的方法。需要应对的风险和机遇质量风险与机遇：直接产品质量风险与机遇、间接产品质量风险与机遇。环境风险与机遇：主要有自然、人文、政治、经济以及其他。经营风险与机遇：主要有员工、设备、供销链、技术、管理、产品、法律、专利及产权。市场风险与机遇：包括市场容量、竞争力、价格、促销。财务风险与机遇：有融资/筹资、资金偿还、资金使用、资金回收、效益分配。</w:t>
            </w:r>
            <w:r>
              <w:rPr>
                <w:rFonts w:hint="eastAsia" w:ascii="宋体" w:hAnsi="宋体" w:cs="Arial"/>
                <w:szCs w:val="21"/>
                <w:highlight w:val="none"/>
              </w:rPr>
              <w:t>提供了“企业风险和机遇应对策划表”，识别的风险主要包括</w:t>
            </w:r>
            <w:r>
              <w:rPr>
                <w:rFonts w:hint="eastAsia" w:ascii="宋体" w:hAnsi="宋体" w:cs="Arial"/>
                <w:szCs w:val="21"/>
                <w:highlight w:val="none"/>
                <w:lang w:val="en-US" w:eastAsia="zh-CN"/>
              </w:rPr>
              <w:t>社会与环境安全、资金资产安全风险，特殊事件风险、人员健康安全</w:t>
            </w:r>
            <w:r>
              <w:rPr>
                <w:rFonts w:hint="eastAsia" w:ascii="宋体" w:hAnsi="宋体" w:cs="Arial"/>
                <w:szCs w:val="21"/>
                <w:highlight w:val="none"/>
              </w:rPr>
              <w:t>等，机遇有</w:t>
            </w:r>
            <w:r>
              <w:rPr>
                <w:rFonts w:hint="eastAsia" w:ascii="宋体" w:hAnsi="宋体" w:cs="Arial"/>
                <w:szCs w:val="21"/>
                <w:highlight w:val="none"/>
                <w:lang w:val="en-US" w:eastAsia="zh-CN"/>
              </w:rPr>
              <w:t>生产制造自动化、流程管理数字化</w:t>
            </w:r>
            <w:r>
              <w:rPr>
                <w:rFonts w:hint="eastAsia" w:ascii="宋体" w:hAnsi="宋体" w:cs="Arial"/>
                <w:szCs w:val="21"/>
                <w:highlight w:val="none"/>
              </w:rPr>
              <w:t>，</w:t>
            </w:r>
            <w:r>
              <w:rPr>
                <w:rFonts w:hint="eastAsia" w:ascii="宋体" w:hAnsi="宋体" w:cs="Arial"/>
                <w:szCs w:val="21"/>
                <w:highlight w:val="none"/>
                <w:lang w:val="en-US" w:eastAsia="zh-CN"/>
              </w:rPr>
              <w:t>生产管理模式升级等</w:t>
            </w:r>
            <w:r>
              <w:rPr>
                <w:rFonts w:hint="eastAsia" w:ascii="宋体" w:hAnsi="宋体" w:cs="Arial"/>
                <w:szCs w:val="21"/>
                <w:highlight w:val="none"/>
              </w:rPr>
              <w:t>评估了影响范围和重要程度。</w:t>
            </w:r>
          </w:p>
          <w:p>
            <w:pPr>
              <w:ind w:firstLine="420" w:firstLineChars="200"/>
              <w:rPr>
                <w:rFonts w:hint="eastAsia" w:ascii="宋体" w:hAnsi="宋体" w:cs="宋体"/>
                <w:szCs w:val="21"/>
              </w:rPr>
            </w:pPr>
            <w:r>
              <w:rPr>
                <w:rFonts w:hint="eastAsia" w:ascii="宋体" w:hAnsi="宋体" w:cs="Arial"/>
                <w:szCs w:val="21"/>
                <w:highlight w:val="none"/>
              </w:rPr>
              <w:t>其中涉及</w:t>
            </w:r>
            <w:r>
              <w:rPr>
                <w:rFonts w:hint="eastAsia" w:ascii="宋体" w:hAnsi="宋体" w:cs="Arial"/>
                <w:szCs w:val="21"/>
                <w:highlight w:val="none"/>
                <w:lang w:val="en-US" w:eastAsia="zh-CN"/>
              </w:rPr>
              <w:t>办公室</w:t>
            </w:r>
            <w:r>
              <w:rPr>
                <w:rFonts w:hint="eastAsia" w:ascii="宋体" w:hAnsi="宋体" w:cs="Arial"/>
                <w:szCs w:val="21"/>
                <w:highlight w:val="none"/>
              </w:rPr>
              <w:t>的主要有的</w:t>
            </w:r>
            <w:r>
              <w:rPr>
                <w:rFonts w:hint="eastAsia" w:ascii="宋体" w:hAnsi="宋体" w:cs="Arial"/>
                <w:szCs w:val="21"/>
                <w:highlight w:val="none"/>
                <w:lang w:val="en-US" w:eastAsia="zh-CN"/>
              </w:rPr>
              <w:t>人员健康安全、劳资纠纷</w:t>
            </w:r>
            <w:r>
              <w:rPr>
                <w:rFonts w:hint="eastAsia" w:ascii="宋体" w:hAnsi="宋体" w:cs="Arial"/>
                <w:szCs w:val="21"/>
                <w:highlight w:val="none"/>
              </w:rPr>
              <w:t>等，并明确了对应的措施，基本合理，编制人为</w:t>
            </w:r>
            <w:r>
              <w:rPr>
                <w:rFonts w:hint="eastAsia" w:ascii="宋体" w:hAnsi="宋体" w:cs="Arial"/>
                <w:szCs w:val="21"/>
                <w:highlight w:val="none"/>
                <w:lang w:val="en-US" w:eastAsia="zh-CN"/>
              </w:rPr>
              <w:t>曹玉婷</w:t>
            </w:r>
            <w:r>
              <w:rPr>
                <w:rFonts w:hint="eastAsia" w:ascii="宋体" w:hAnsi="宋体" w:cs="Arial"/>
                <w:szCs w:val="21"/>
                <w:highlight w:val="none"/>
              </w:rPr>
              <w:t>；审批</w:t>
            </w:r>
            <w:r>
              <w:rPr>
                <w:rFonts w:hint="eastAsia" w:ascii="宋体" w:hAnsi="宋体" w:cs="Arial"/>
                <w:szCs w:val="21"/>
                <w:highlight w:val="none"/>
                <w:lang w:val="en-US" w:eastAsia="zh-CN"/>
              </w:rPr>
              <w:t>张金方</w:t>
            </w:r>
            <w:r>
              <w:rPr>
                <w:rFonts w:hint="eastAsia" w:ascii="宋体" w:hAnsi="宋体" w:cs="Arial"/>
                <w:szCs w:val="21"/>
                <w:highlight w:val="none"/>
              </w:rPr>
              <w:t>，日期为2</w:t>
            </w:r>
            <w:r>
              <w:rPr>
                <w:rFonts w:ascii="宋体" w:hAnsi="宋体" w:cs="Arial"/>
                <w:szCs w:val="21"/>
                <w:highlight w:val="none"/>
              </w:rPr>
              <w:t>02</w:t>
            </w:r>
            <w:r>
              <w:rPr>
                <w:rFonts w:hint="eastAsia" w:ascii="宋体" w:hAnsi="宋体" w:cs="Arial"/>
                <w:szCs w:val="21"/>
                <w:highlight w:val="none"/>
                <w:lang w:val="en-US" w:eastAsia="zh-CN"/>
              </w:rPr>
              <w:t>1</w:t>
            </w:r>
            <w:r>
              <w:rPr>
                <w:rFonts w:ascii="宋体" w:hAnsi="宋体" w:cs="Arial"/>
                <w:szCs w:val="21"/>
                <w:highlight w:val="none"/>
              </w:rPr>
              <w:t>.1.</w:t>
            </w:r>
            <w:r>
              <w:rPr>
                <w:rFonts w:hint="eastAsia" w:ascii="宋体" w:hAnsi="宋体" w:cs="Arial"/>
                <w:szCs w:val="21"/>
                <w:highlight w:val="none"/>
                <w:lang w:val="en-US" w:eastAsia="zh-CN"/>
              </w:rPr>
              <w:t>20</w:t>
            </w:r>
            <w:r>
              <w:rPr>
                <w:rFonts w:hint="eastAsia" w:ascii="宋体" w:hAnsi="宋体" w:cs="Arial"/>
                <w:szCs w:val="21"/>
                <w:highlight w:val="none"/>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eastAsia"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cs="宋体"/>
                <w:szCs w:val="21"/>
              </w:rPr>
            </w:pPr>
          </w:p>
        </w:tc>
        <w:tc>
          <w:tcPr>
            <w:tcW w:w="1063" w:type="dxa"/>
          </w:tcPr>
          <w:p>
            <w:pPr>
              <w:spacing w:line="280" w:lineRule="exact"/>
              <w:rPr>
                <w:rFonts w:hint="eastAsia"/>
                <w:szCs w:val="21"/>
              </w:rPr>
            </w:pPr>
            <w:r>
              <w:rPr>
                <w:rFonts w:hint="eastAsia"/>
                <w:szCs w:val="21"/>
              </w:rPr>
              <w:t>Q6.2</w:t>
            </w:r>
          </w:p>
          <w:p>
            <w:pPr>
              <w:spacing w:line="280" w:lineRule="exact"/>
              <w:rPr>
                <w:rFonts w:hint="default" w:eastAsia="宋体"/>
                <w:szCs w:val="21"/>
                <w:lang w:val="en-US" w:eastAsia="zh-CN"/>
              </w:rPr>
            </w:pPr>
            <w:r>
              <w:rPr>
                <w:rFonts w:hint="eastAsia"/>
                <w:szCs w:val="21"/>
              </w:rPr>
              <w:t>E</w:t>
            </w:r>
            <w:r>
              <w:rPr>
                <w:szCs w:val="21"/>
              </w:rPr>
              <w:t>O</w:t>
            </w:r>
            <w:r>
              <w:rPr>
                <w:rFonts w:hint="eastAsia"/>
                <w:szCs w:val="21"/>
                <w:lang w:val="en-US" w:eastAsia="zh-CN"/>
              </w:rPr>
              <w:t>6.2.1</w:t>
            </w:r>
          </w:p>
        </w:tc>
        <w:tc>
          <w:tcPr>
            <w:tcW w:w="9939"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公司对管理体系所需的相关职能、层次和过程设定管理目标。</w:t>
            </w:r>
          </w:p>
          <w:p>
            <w:pPr>
              <w:rPr>
                <w:rFonts w:hint="eastAsia" w:ascii="宋体" w:hAnsi="宋体" w:cs="宋体"/>
                <w:szCs w:val="21"/>
              </w:rPr>
            </w:pPr>
            <w:r>
              <w:rPr>
                <w:rFonts w:hint="eastAsia" w:ascii="宋体" w:hAnsi="宋体" w:cs="宋体"/>
                <w:szCs w:val="21"/>
              </w:rPr>
              <w:t>办公室涉及的目标及实现情况是：</w:t>
            </w:r>
          </w:p>
          <w:p>
            <w:pPr>
              <w:ind w:firstLine="420" w:firstLineChars="200"/>
              <w:rPr>
                <w:rFonts w:hint="eastAsia" w:ascii="宋体" w:hAnsi="宋体" w:cs="宋体"/>
                <w:szCs w:val="21"/>
                <w:lang w:eastAsia="zh-CN"/>
              </w:rPr>
            </w:pPr>
            <w:r>
              <w:rPr>
                <w:rFonts w:hint="eastAsia" w:ascii="宋体" w:hAnsi="宋体" w:cs="宋体"/>
                <w:szCs w:val="21"/>
              </w:rPr>
              <w:t>员工年度三级教育培训每季度≥15小时</w:t>
            </w:r>
            <w:r>
              <w:rPr>
                <w:rFonts w:hint="eastAsia" w:ascii="宋体" w:hAnsi="宋体" w:cs="宋体"/>
                <w:szCs w:val="21"/>
                <w:lang w:eastAsia="zh-CN"/>
              </w:rPr>
              <w:t>；</w:t>
            </w:r>
            <w:r>
              <w:rPr>
                <w:rFonts w:hint="eastAsia" w:ascii="宋体" w:hAnsi="宋体" w:cs="宋体"/>
                <w:szCs w:val="21"/>
              </w:rPr>
              <w:t>特种人员持证上岗率100%</w:t>
            </w:r>
            <w:r>
              <w:rPr>
                <w:rFonts w:hint="eastAsia" w:ascii="宋体" w:hAnsi="宋体" w:cs="宋体"/>
                <w:szCs w:val="21"/>
                <w:lang w:eastAsia="zh-CN"/>
              </w:rPr>
              <w:t>；</w:t>
            </w:r>
            <w:r>
              <w:rPr>
                <w:rFonts w:hint="eastAsia" w:ascii="宋体" w:hAnsi="宋体" w:cs="宋体"/>
                <w:szCs w:val="21"/>
              </w:rPr>
              <w:t>新员工岗前培训覆盖率达到100%</w:t>
            </w:r>
            <w:r>
              <w:rPr>
                <w:rFonts w:hint="eastAsia" w:ascii="宋体" w:hAnsi="宋体" w:cs="宋体"/>
                <w:szCs w:val="21"/>
                <w:lang w:eastAsia="zh-CN"/>
              </w:rPr>
              <w:t>；</w:t>
            </w:r>
            <w:r>
              <w:rPr>
                <w:rFonts w:hint="eastAsia" w:ascii="宋体" w:hAnsi="宋体" w:cs="宋体"/>
                <w:szCs w:val="21"/>
              </w:rPr>
              <w:t>培训计划完成率90%</w:t>
            </w:r>
            <w:r>
              <w:rPr>
                <w:rFonts w:hint="eastAsia" w:ascii="宋体" w:hAnsi="宋体" w:cs="宋体"/>
                <w:szCs w:val="21"/>
                <w:lang w:eastAsia="zh-CN"/>
              </w:rPr>
              <w:t>；</w:t>
            </w:r>
            <w:r>
              <w:rPr>
                <w:rFonts w:hint="eastAsia" w:ascii="宋体" w:hAnsi="宋体" w:cs="宋体"/>
                <w:szCs w:val="21"/>
              </w:rPr>
              <w:t>招聘达成率≥95%</w:t>
            </w:r>
            <w:r>
              <w:rPr>
                <w:rFonts w:hint="eastAsia" w:ascii="宋体" w:hAnsi="宋体" w:cs="宋体"/>
                <w:szCs w:val="21"/>
                <w:lang w:eastAsia="zh-CN"/>
              </w:rPr>
              <w:t>；</w:t>
            </w:r>
            <w:r>
              <w:rPr>
                <w:rFonts w:hint="eastAsia" w:ascii="宋体" w:hAnsi="宋体" w:cs="宋体"/>
                <w:szCs w:val="21"/>
              </w:rPr>
              <w:t>全年无安全事故发生</w:t>
            </w:r>
            <w:r>
              <w:rPr>
                <w:rFonts w:hint="eastAsia" w:ascii="宋体" w:hAnsi="宋体" w:cs="宋体"/>
                <w:szCs w:val="21"/>
                <w:lang w:eastAsia="zh-CN"/>
              </w:rPr>
              <w:t>；</w:t>
            </w:r>
            <w:r>
              <w:rPr>
                <w:rFonts w:hint="eastAsia" w:ascii="宋体" w:hAnsi="宋体" w:cs="宋体"/>
                <w:szCs w:val="21"/>
              </w:rPr>
              <w:t>办公固废分类并及时处理率100%</w:t>
            </w:r>
            <w:r>
              <w:rPr>
                <w:rFonts w:hint="eastAsia" w:ascii="宋体" w:hAnsi="宋体" w:cs="宋体"/>
                <w:szCs w:val="21"/>
                <w:lang w:eastAsia="zh-CN"/>
              </w:rPr>
              <w:t>；</w:t>
            </w:r>
            <w:r>
              <w:rPr>
                <w:rFonts w:hint="eastAsia" w:ascii="宋体" w:hAnsi="宋体" w:cs="宋体"/>
                <w:szCs w:val="21"/>
              </w:rPr>
              <w:t>废水、废气、噪声达标排放</w:t>
            </w:r>
            <w:r>
              <w:rPr>
                <w:rFonts w:hint="eastAsia" w:ascii="宋体" w:hAnsi="宋体" w:cs="宋体"/>
                <w:szCs w:val="21"/>
                <w:lang w:eastAsia="zh-CN"/>
              </w:rPr>
              <w:t>；</w:t>
            </w:r>
            <w:r>
              <w:rPr>
                <w:rFonts w:hint="eastAsia" w:ascii="宋体" w:hAnsi="宋体" w:cs="宋体"/>
                <w:szCs w:val="21"/>
              </w:rPr>
              <w:t>法律法规每年更新1次</w:t>
            </w:r>
            <w:r>
              <w:rPr>
                <w:rFonts w:hint="eastAsia" w:ascii="宋体" w:hAnsi="宋体" w:cs="宋体"/>
                <w:szCs w:val="21"/>
                <w:lang w:eastAsia="zh-CN"/>
              </w:rPr>
              <w:t>；</w:t>
            </w:r>
            <w:r>
              <w:rPr>
                <w:rFonts w:hint="eastAsia" w:ascii="宋体" w:hAnsi="宋体" w:cs="宋体"/>
                <w:szCs w:val="21"/>
              </w:rPr>
              <w:t>办公场所分类处理各类废弃物，有专门收集箱并标识，回收处理率100%</w:t>
            </w:r>
            <w:r>
              <w:rPr>
                <w:rFonts w:hint="eastAsia" w:ascii="宋体" w:hAnsi="宋体" w:cs="宋体"/>
                <w:szCs w:val="21"/>
                <w:lang w:eastAsia="zh-CN"/>
              </w:rPr>
              <w:t>；</w:t>
            </w:r>
            <w:r>
              <w:rPr>
                <w:rFonts w:hint="eastAsia" w:ascii="宋体" w:hAnsi="宋体" w:cs="宋体"/>
                <w:szCs w:val="21"/>
              </w:rPr>
              <w:t>全年无职业病发生</w:t>
            </w:r>
            <w:r>
              <w:rPr>
                <w:rFonts w:hint="eastAsia" w:ascii="宋体" w:hAnsi="宋体" w:cs="宋体"/>
                <w:szCs w:val="21"/>
                <w:lang w:eastAsia="zh-CN"/>
              </w:rPr>
              <w:t>。</w:t>
            </w:r>
          </w:p>
          <w:p>
            <w:pPr>
              <w:spacing w:line="280" w:lineRule="exact"/>
              <w:ind w:firstLine="420" w:firstLineChars="200"/>
              <w:rPr>
                <w:color w:val="000000"/>
                <w:szCs w:val="21"/>
              </w:rPr>
            </w:pPr>
            <w:r>
              <w:rPr>
                <w:rFonts w:hint="eastAsia"/>
                <w:color w:val="000000"/>
                <w:szCs w:val="21"/>
              </w:rPr>
              <w:t>目标可测量，与公司方针一致。</w:t>
            </w:r>
          </w:p>
          <w:p>
            <w:pPr>
              <w:ind w:firstLine="420" w:firstLineChars="200"/>
              <w:rPr>
                <w:rFonts w:hint="eastAsia"/>
                <w:color w:val="000000"/>
                <w:szCs w:val="21"/>
              </w:rPr>
            </w:pPr>
            <w:r>
              <w:rPr>
                <w:rFonts w:hint="eastAsia"/>
                <w:color w:val="000000"/>
                <w:szCs w:val="21"/>
              </w:rPr>
              <w:t>管理目标完成情况：查到20</w:t>
            </w:r>
            <w:r>
              <w:rPr>
                <w:color w:val="000000"/>
                <w:szCs w:val="21"/>
              </w:rPr>
              <w:t>2</w:t>
            </w:r>
            <w:r>
              <w:rPr>
                <w:rFonts w:hint="eastAsia"/>
                <w:color w:val="000000"/>
                <w:szCs w:val="21"/>
                <w:lang w:val="en-US" w:eastAsia="zh-CN"/>
              </w:rPr>
              <w:t>2年第一、二季</w:t>
            </w:r>
            <w:r>
              <w:rPr>
                <w:rFonts w:hint="eastAsia"/>
                <w:color w:val="000000"/>
                <w:szCs w:val="21"/>
              </w:rPr>
              <w:t>部门管理目标完成情况，以上管理目标已全部完成</w:t>
            </w:r>
          </w:p>
          <w:p>
            <w:pPr>
              <w:ind w:firstLine="420" w:firstLineChars="200"/>
              <w:rPr>
                <w:rFonts w:hint="eastAsia"/>
                <w:color w:val="000000"/>
                <w:szCs w:val="21"/>
                <w:lang w:val="en-US" w:eastAsia="zh-CN"/>
              </w:rPr>
            </w:pPr>
            <w:r>
              <w:rPr>
                <w:rFonts w:hint="eastAsia"/>
                <w:color w:val="000000"/>
                <w:szCs w:val="21"/>
                <w:lang w:val="en-US" w:eastAsia="zh-CN"/>
              </w:rPr>
              <w:t>考核人：张金方、</w:t>
            </w:r>
            <w:r>
              <w:rPr>
                <w:rFonts w:hint="eastAsia"/>
                <w:color w:val="000000"/>
                <w:szCs w:val="21"/>
                <w:lang w:eastAsia="zh-CN"/>
              </w:rPr>
              <w:t>潘强勇</w:t>
            </w:r>
            <w:r>
              <w:rPr>
                <w:rFonts w:hint="eastAsia"/>
                <w:color w:val="000000"/>
                <w:szCs w:val="21"/>
              </w:rPr>
              <w:t xml:space="preserve">     日期：</w:t>
            </w:r>
            <w:r>
              <w:rPr>
                <w:rFonts w:hint="eastAsia"/>
                <w:color w:val="000000"/>
                <w:szCs w:val="21"/>
                <w:lang w:eastAsia="zh-CN"/>
              </w:rPr>
              <w:t>2022.</w:t>
            </w:r>
            <w:r>
              <w:rPr>
                <w:rFonts w:hint="eastAsia"/>
                <w:color w:val="000000"/>
                <w:szCs w:val="21"/>
                <w:lang w:val="en-US" w:eastAsia="zh-CN"/>
              </w:rPr>
              <w:t>7</w:t>
            </w:r>
            <w:r>
              <w:rPr>
                <w:rFonts w:hint="eastAsia"/>
                <w:color w:val="000000"/>
                <w:szCs w:val="21"/>
                <w:lang w:eastAsia="zh-CN"/>
              </w:rPr>
              <w:t>.</w:t>
            </w:r>
            <w:r>
              <w:rPr>
                <w:rFonts w:hint="eastAsia"/>
                <w:color w:val="000000"/>
                <w:szCs w:val="21"/>
                <w:lang w:val="en-US" w:eastAsia="zh-CN"/>
              </w:rPr>
              <w:t>7</w:t>
            </w:r>
          </w:p>
          <w:p>
            <w:pPr>
              <w:ind w:firstLine="420" w:firstLineChars="200"/>
              <w:rPr>
                <w:rFonts w:hint="eastAsia" w:ascii="宋体" w:hAnsi="宋体" w:cs="宋体"/>
                <w:szCs w:val="21"/>
              </w:rPr>
            </w:pPr>
            <w:r>
              <w:rPr>
                <w:rFonts w:hint="eastAsia" w:ascii="宋体" w:hAnsi="宋体" w:cs="宋体"/>
                <w:szCs w:val="21"/>
                <w:lang w:eastAsia="zh-CN"/>
              </w:rPr>
              <w:t>针对以上环境、职业健康安全目标和重要环境因素和重大危险源公司制定了相应的管理方案，内容涉及主要措施、责任部门、经费、时间要求、实施情况等。公司制定了环境和职业健康安全目标、指标及管理方案，内容涉及主要措施、责任部门、经费、时间要求、实施情况等。通过执行相关的控制程序、管理制度、安全排查等方式对以上管理方案进行管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环境/职业健康安全目标实现措施策划</w:t>
            </w:r>
          </w:p>
        </w:tc>
        <w:tc>
          <w:tcPr>
            <w:tcW w:w="1063" w:type="dxa"/>
          </w:tcPr>
          <w:p>
            <w:pPr>
              <w:spacing w:line="280" w:lineRule="exact"/>
              <w:rPr>
                <w:rFonts w:hint="default" w:eastAsia="宋体"/>
                <w:szCs w:val="21"/>
                <w:lang w:val="en-US" w:eastAsia="zh-CN"/>
              </w:rPr>
            </w:pPr>
            <w:r>
              <w:rPr>
                <w:rFonts w:hint="eastAsia"/>
                <w:szCs w:val="21"/>
                <w:lang w:val="en-US" w:eastAsia="zh-CN"/>
              </w:rPr>
              <w:t>6.2.2</w:t>
            </w:r>
          </w:p>
        </w:tc>
        <w:tc>
          <w:tcPr>
            <w:tcW w:w="9939" w:type="dxa"/>
            <w:vAlign w:val="center"/>
          </w:tcPr>
          <w:p>
            <w:pPr>
              <w:ind w:firstLine="420" w:firstLineChars="200"/>
              <w:rPr>
                <w:rFonts w:hint="default" w:ascii="宋体" w:hAnsi="宋体" w:eastAsia="宋体" w:cs="宋体"/>
                <w:szCs w:val="21"/>
                <w:lang w:val="en-US" w:eastAsia="zh-CN"/>
              </w:rPr>
            </w:pPr>
            <w:r>
              <w:rPr>
                <w:rFonts w:hint="eastAsia"/>
                <w:szCs w:val="21"/>
                <w:lang w:val="en-US" w:eastAsia="zh-CN"/>
              </w:rPr>
              <w:t>按</w:t>
            </w:r>
            <w:r>
              <w:rPr>
                <w:rFonts w:hint="eastAsia"/>
                <w:szCs w:val="21"/>
              </w:rPr>
              <w:t>《环境因素识别评价管理程序》</w:t>
            </w:r>
            <w:r>
              <w:rPr>
                <w:rFonts w:hint="eastAsia"/>
                <w:szCs w:val="21"/>
                <w:lang w:val="en-US" w:eastAsia="zh-CN"/>
              </w:rPr>
              <w:t>和</w:t>
            </w:r>
            <w:r>
              <w:rPr>
                <w:rFonts w:hint="eastAsia"/>
                <w:szCs w:val="21"/>
              </w:rPr>
              <w:t>《危险源辨识和风险评价控制程序》</w:t>
            </w:r>
            <w:r>
              <w:rPr>
                <w:rFonts w:hint="eastAsia"/>
                <w:szCs w:val="21"/>
                <w:lang w:val="en-US" w:eastAsia="zh-CN"/>
              </w:rPr>
              <w:t>识别的重要环境因素和重大危险制定管理措施，制定</w:t>
            </w:r>
            <w:r>
              <w:rPr>
                <w:rFonts w:hint="eastAsia" w:ascii="宋体" w:hAnsi="宋体" w:cs="宋体"/>
                <w:szCs w:val="21"/>
              </w:rPr>
              <w:t>《环境运行控制程序》、《职业健康安全运行控制程序》、《相关方管理程序》</w:t>
            </w:r>
            <w:r>
              <w:rPr>
                <w:rFonts w:hint="eastAsia" w:ascii="宋体" w:hAnsi="宋体" w:cs="宋体"/>
                <w:szCs w:val="21"/>
                <w:lang w:val="en-US" w:eastAsia="zh-CN"/>
              </w:rPr>
              <w:t>等文件；由办公室统一管理。</w:t>
            </w:r>
            <w:r>
              <w:rPr>
                <w:rFonts w:hint="eastAsia" w:ascii="宋体" w:hAnsi="宋体" w:cs="宋体"/>
                <w:szCs w:val="21"/>
                <w:lang w:eastAsia="zh-CN"/>
              </w:rPr>
              <w:t>针对重要环境因素和重大危险源公司制定了相应的管理方案，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人员</w:t>
            </w:r>
          </w:p>
          <w:p>
            <w:pPr>
              <w:spacing w:line="280" w:lineRule="exact"/>
              <w:rPr>
                <w:rFonts w:hint="eastAsia"/>
                <w:b/>
                <w:szCs w:val="21"/>
              </w:rPr>
            </w:pPr>
          </w:p>
        </w:tc>
        <w:tc>
          <w:tcPr>
            <w:tcW w:w="1063"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Q7.1.2</w:t>
            </w:r>
          </w:p>
          <w:p>
            <w:pPr>
              <w:spacing w:line="280" w:lineRule="exact"/>
              <w:rPr>
                <w:rFonts w:hint="eastAsia"/>
                <w:b/>
                <w:szCs w:val="21"/>
              </w:rPr>
            </w:pPr>
          </w:p>
        </w:tc>
        <w:tc>
          <w:tcPr>
            <w:tcW w:w="9939" w:type="dxa"/>
            <w:vAlign w:val="center"/>
          </w:tcPr>
          <w:p>
            <w:pPr>
              <w:spacing w:line="280" w:lineRule="exact"/>
              <w:rPr>
                <w:rFonts w:hint="eastAsia"/>
                <w:b/>
                <w:szCs w:val="21"/>
              </w:rPr>
            </w:pPr>
            <w:r>
              <w:rPr>
                <w:rFonts w:hint="eastAsia" w:ascii="宋体" w:hAnsi="宋体" w:cs="宋体"/>
                <w:color w:val="000000"/>
                <w:kern w:val="0"/>
                <w:szCs w:val="21"/>
              </w:rPr>
              <w:t xml:space="preserve">  </w:t>
            </w:r>
            <w:r>
              <w:rPr>
                <w:rFonts w:hint="default" w:ascii="Times New Roman" w:hAnsi="Times New Roman" w:cs="Times New Roman"/>
                <w:lang w:val="en-US" w:eastAsia="zh-CN"/>
              </w:rPr>
              <w:t>制定了</w:t>
            </w:r>
            <w:r>
              <w:rPr>
                <w:rFonts w:hint="eastAsia" w:ascii="Times New Roman" w:hAnsi="Times New Roman" w:cs="Times New Roman"/>
                <w:lang w:eastAsia="zh-CN"/>
              </w:rPr>
              <w:t>《</w:t>
            </w:r>
            <w:r>
              <w:rPr>
                <w:rFonts w:hint="default" w:ascii="Times New Roman" w:hAnsi="Times New Roman" w:cs="Times New Roman"/>
              </w:rPr>
              <w:t>人力资源控制程序》</w:t>
            </w:r>
            <w:r>
              <w:rPr>
                <w:rFonts w:hint="default" w:ascii="Times New Roman" w:hAnsi="Times New Roman" w:cs="Times New Roman"/>
                <w:lang w:eastAsia="zh-CN"/>
              </w:rPr>
              <w:t>，</w:t>
            </w:r>
            <w:r>
              <w:rPr>
                <w:rFonts w:hint="default" w:ascii="Times New Roman" w:hAnsi="Times New Roman" w:cs="Times New Roman"/>
              </w:rPr>
              <w:t>公司确定并提供所需要的人员，以有效实施质量环境职业健康安全管理体系并运行和控制其过程</w:t>
            </w:r>
            <w:r>
              <w:rPr>
                <w:rFonts w:hint="eastAsia" w:ascii="宋体" w:hAnsi="宋体" w:cs="宋体"/>
                <w:color w:val="000000"/>
                <w:kern w:val="0"/>
                <w:szCs w:val="21"/>
              </w:rPr>
              <w:t xml:space="preserve"> </w:t>
            </w:r>
            <w:r>
              <w:rPr>
                <w:rFonts w:hint="default" w:ascii="Times New Roman" w:hAnsi="Times New Roman" w:cs="Times New Roman"/>
                <w:lang w:eastAsia="zh-CN"/>
              </w:rPr>
              <w:t>。</w:t>
            </w: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组织配置了适宜的人员：</w:t>
            </w:r>
            <w:r>
              <w:rPr>
                <w:rFonts w:hint="eastAsia" w:ascii="Times New Roman" w:hAnsi="Times New Roman" w:cs="Times New Roman"/>
                <w:lang w:val="en-US" w:eastAsia="zh-CN"/>
              </w:rPr>
              <w:t>质量负责人、</w:t>
            </w:r>
            <w:r>
              <w:rPr>
                <w:rFonts w:hint="eastAsia" w:cs="Times New Roman"/>
                <w:lang w:val="en-US" w:eastAsia="zh-CN"/>
              </w:rPr>
              <w:t>生产技术</w:t>
            </w:r>
            <w:r>
              <w:rPr>
                <w:rFonts w:hint="eastAsia" w:ascii="Times New Roman" w:hAnsi="Times New Roman" w:cs="Times New Roman"/>
                <w:lang w:val="en-US" w:eastAsia="zh-CN"/>
              </w:rPr>
              <w:t>负责人、采购人员、销售人员等，</w:t>
            </w:r>
            <w:r>
              <w:rPr>
                <w:rFonts w:hint="default" w:ascii="Times New Roman" w:hAnsi="Times New Roman" w:cs="Times New Roman"/>
              </w:rPr>
              <w:t>人员配置基本满足日常管理体系运行要求；</w:t>
            </w:r>
            <w:r>
              <w:rPr>
                <w:rFonts w:hint="eastAsia" w:ascii="Times New Roman" w:hAnsi="Times New Roman" w:cs="Times New Roman"/>
                <w:lang w:val="en-US" w:eastAsia="zh-CN"/>
              </w:rPr>
              <w:t>生产部表面处理工序操作人员未</w:t>
            </w:r>
            <w:r>
              <w:rPr>
                <w:rFonts w:hint="default" w:ascii="Times New Roman" w:hAnsi="Times New Roman" w:cs="Times New Roman"/>
              </w:rPr>
              <w:t>特殊作业人员</w:t>
            </w:r>
            <w:r>
              <w:rPr>
                <w:rFonts w:hint="eastAsia" w:ascii="Times New Roman" w:hAnsi="Times New Roman" w:cs="Times New Roman"/>
                <w:lang w:eastAsia="zh-CN"/>
              </w:rPr>
              <w:t>，</w:t>
            </w:r>
            <w:r>
              <w:rPr>
                <w:rFonts w:hint="eastAsia" w:ascii="Times New Roman" w:hAnsi="Times New Roman" w:cs="Times New Roman"/>
                <w:lang w:val="en-US" w:eastAsia="zh-CN"/>
              </w:rPr>
              <w:t>经培考试合格后持证上岗</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组织对供应商进行了评价，经过评价确定，供应商配备了具备有能保持稳定提供</w:t>
            </w:r>
            <w:r>
              <w:rPr>
                <w:rFonts w:hint="eastAsia" w:ascii="Times New Roman" w:hAnsi="Times New Roman" w:cs="Times New Roman"/>
                <w:lang w:val="en-US" w:eastAsia="zh-CN"/>
              </w:rPr>
              <w:t>产品</w:t>
            </w:r>
            <w:r>
              <w:rPr>
                <w:rFonts w:hint="default" w:ascii="Times New Roman" w:hAnsi="Times New Roman" w:cs="Times New Roman"/>
              </w:rPr>
              <w:t>的能力</w:t>
            </w:r>
            <w:r>
              <w:rPr>
                <w:rFonts w:hint="default" w:ascii="Times New Roman" w:hAnsi="Times New Roman" w:cs="Times New Roman"/>
                <w:lang w:eastAsia="zh-CN"/>
              </w:rPr>
              <w:t>。</w:t>
            </w:r>
            <w:r>
              <w:rPr>
                <w:rFonts w:hint="default" w:ascii="Times New Roman" w:hAnsi="Times New Roman" w:cs="Times New Roman"/>
                <w:lang w:val="en-US" w:eastAsia="zh-CN"/>
              </w:rPr>
              <w:t>3）制定年度培训计划，对相关人员进行培训、考核，以获得相应的上岗资质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组织的知识</w:t>
            </w:r>
          </w:p>
          <w:p>
            <w:pPr>
              <w:spacing w:line="280" w:lineRule="exact"/>
              <w:rPr>
                <w:rFonts w:hint="eastAsia"/>
                <w:b/>
                <w:szCs w:val="21"/>
              </w:rPr>
            </w:pPr>
          </w:p>
        </w:tc>
        <w:tc>
          <w:tcPr>
            <w:tcW w:w="1063"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Q7.1.6</w:t>
            </w:r>
          </w:p>
          <w:p>
            <w:pPr>
              <w:spacing w:line="280" w:lineRule="exact"/>
              <w:rPr>
                <w:rFonts w:hint="eastAsia"/>
                <w:b/>
                <w:szCs w:val="21"/>
              </w:rPr>
            </w:pPr>
          </w:p>
        </w:tc>
        <w:tc>
          <w:tcPr>
            <w:tcW w:w="9939" w:type="dxa"/>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  公司确定运行过程所需的知识。</w:t>
            </w:r>
            <w:r>
              <w:rPr>
                <w:rFonts w:hint="eastAsia" w:ascii="宋体" w:hAnsi="宋体" w:cs="宋体"/>
                <w:color w:val="000000"/>
                <w:kern w:val="0"/>
                <w:szCs w:val="21"/>
                <w:lang w:val="en-US" w:eastAsia="zh-CN"/>
              </w:rPr>
              <w:t>提供了《组织的知识清单》，公整理了12项知识内容；</w:t>
            </w:r>
            <w:r>
              <w:rPr>
                <w:rFonts w:hint="eastAsia" w:ascii="宋体" w:hAnsi="宋体" w:cs="宋体"/>
                <w:color w:val="000000"/>
                <w:kern w:val="0"/>
                <w:szCs w:val="21"/>
              </w:rPr>
              <w:t>内部来源包括：公司运作准则（管理手册、程序文件、管理制度、作业记录等）、管理过程经验教训</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技能知识、合理化建议</w:t>
            </w:r>
            <w:r>
              <w:rPr>
                <w:rFonts w:hint="eastAsia" w:ascii="宋体" w:hAnsi="宋体" w:cs="宋体"/>
                <w:color w:val="000000"/>
                <w:kern w:val="0"/>
                <w:szCs w:val="21"/>
              </w:rPr>
              <w:t>等；外部来源包括：外来资料（如顾客反馈的信息、技术</w:t>
            </w:r>
            <w:r>
              <w:rPr>
                <w:rFonts w:hint="eastAsia" w:ascii="宋体" w:hAnsi="宋体" w:cs="宋体"/>
                <w:color w:val="000000"/>
                <w:kern w:val="0"/>
                <w:szCs w:val="21"/>
                <w:lang w:val="en-US" w:eastAsia="zh-CN"/>
              </w:rPr>
              <w:t>成果</w:t>
            </w:r>
            <w:r>
              <w:rPr>
                <w:rFonts w:hint="eastAsia" w:ascii="宋体" w:hAnsi="宋体" w:cs="宋体"/>
                <w:color w:val="000000"/>
                <w:kern w:val="0"/>
                <w:szCs w:val="21"/>
              </w:rPr>
              <w:t>、</w:t>
            </w:r>
            <w:r>
              <w:rPr>
                <w:rFonts w:hint="eastAsia" w:ascii="宋体" w:hAnsi="宋体" w:cs="宋体"/>
                <w:color w:val="000000"/>
                <w:kern w:val="0"/>
                <w:szCs w:val="21"/>
                <w:lang w:val="en-US" w:eastAsia="zh-CN"/>
              </w:rPr>
              <w:t>期刊文献</w:t>
            </w:r>
            <w:r>
              <w:rPr>
                <w:rFonts w:hint="eastAsia" w:ascii="宋体" w:hAnsi="宋体" w:cs="宋体"/>
                <w:color w:val="000000"/>
                <w:kern w:val="0"/>
                <w:szCs w:val="21"/>
              </w:rPr>
              <w:t>）、法律法规、市场信息等。</w:t>
            </w:r>
          </w:p>
          <w:p>
            <w:pPr>
              <w:spacing w:line="280" w:lineRule="exact"/>
              <w:ind w:firstLine="420" w:firstLineChars="200"/>
              <w:rPr>
                <w:rFonts w:hint="eastAsia"/>
                <w:b/>
                <w:szCs w:val="21"/>
              </w:rPr>
            </w:pPr>
            <w:r>
              <w:rPr>
                <w:rFonts w:hint="eastAsia" w:ascii="宋体" w:hAnsi="宋体" w:cs="宋体"/>
                <w:color w:val="000000"/>
                <w:kern w:val="0"/>
                <w:szCs w:val="21"/>
              </w:rPr>
              <w:t>对知识的保持采取文件资料的保存和信息系统存储方式，在公司内部通过传递、交流、培训等方式获取。为获取更多必要的知识采用工作经验总结、顾客意见的采集，行业领先者的最佳实践调查等。主要是从顾客满意度调查</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合同、及问题反馈</w:t>
            </w:r>
            <w:r>
              <w:rPr>
                <w:rFonts w:hint="eastAsia" w:ascii="宋体" w:hAnsi="宋体" w:cs="宋体"/>
                <w:color w:val="000000"/>
                <w:kern w:val="0"/>
                <w:szCs w:val="21"/>
              </w:rPr>
              <w:t xml:space="preserve">收集的顾客抱怨、反馈等知识。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更改的控制</w:t>
            </w:r>
          </w:p>
        </w:tc>
        <w:tc>
          <w:tcPr>
            <w:tcW w:w="1063" w:type="dxa"/>
          </w:tcPr>
          <w:p>
            <w:pPr>
              <w:spacing w:line="2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Q8.5.6</w:t>
            </w:r>
          </w:p>
        </w:tc>
        <w:tc>
          <w:tcPr>
            <w:tcW w:w="9939" w:type="dxa"/>
            <w:vAlign w:val="center"/>
          </w:tcPr>
          <w:p>
            <w:pPr>
              <w:spacing w:line="280" w:lineRule="exact"/>
              <w:ind w:firstLine="420" w:firstLineChars="200"/>
              <w:rPr>
                <w:rFonts w:hint="eastAsia"/>
                <w:color w:val="000000"/>
                <w:szCs w:val="21"/>
                <w:lang w:val="en-US" w:eastAsia="zh-CN"/>
              </w:rPr>
            </w:pPr>
            <w:r>
              <w:rPr>
                <w:rFonts w:hint="eastAsia"/>
                <w:color w:val="000000"/>
                <w:szCs w:val="21"/>
                <w:lang w:val="en-US" w:eastAsia="zh-CN"/>
              </w:rPr>
              <w:t>当内外部环境，如客户要求、产品技术和质量要求、生产工艺、适用的法律法规和产品技术标准等有更改时，相关部门提出更改计划并进行更改和具体实施。</w:t>
            </w:r>
          </w:p>
          <w:p>
            <w:pPr>
              <w:spacing w:line="280" w:lineRule="exact"/>
              <w:ind w:firstLine="420" w:firstLineChars="200"/>
              <w:rPr>
                <w:rFonts w:hint="eastAsia"/>
                <w:szCs w:val="21"/>
              </w:rPr>
            </w:pPr>
            <w:r>
              <w:rPr>
                <w:rFonts w:hint="eastAsia"/>
                <w:color w:val="000000"/>
                <w:szCs w:val="21"/>
                <w:lang w:val="en-US" w:eastAsia="zh-CN"/>
              </w:rPr>
              <w:t>自体系建立以来，未发生生产和服务控制有关信息的变更。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top"/>
          </w:tcPr>
          <w:p>
            <w:pPr>
              <w:spacing w:line="280" w:lineRule="exact"/>
              <w:rPr>
                <w:rFonts w:hint="eastAsia" w:ascii="宋体" w:hAnsi="宋体" w:cs="宋体"/>
                <w:szCs w:val="21"/>
              </w:rPr>
            </w:pPr>
            <w:r>
              <w:rPr>
                <w:rFonts w:hint="eastAsia" w:ascii="宋体" w:hAnsi="宋体" w:cs="宋体"/>
                <w:szCs w:val="21"/>
              </w:rPr>
              <w:t>绩效 总则</w:t>
            </w:r>
          </w:p>
          <w:p>
            <w:pPr>
              <w:spacing w:line="280" w:lineRule="exact"/>
              <w:rPr>
                <w:rFonts w:hint="eastAsia" w:ascii="宋体" w:hAnsi="宋体" w:cs="宋体"/>
                <w:szCs w:val="21"/>
              </w:rPr>
            </w:pPr>
          </w:p>
        </w:tc>
        <w:tc>
          <w:tcPr>
            <w:tcW w:w="1063" w:type="dxa"/>
            <w:vAlign w:val="top"/>
          </w:tcPr>
          <w:p>
            <w:pPr>
              <w:spacing w:line="280" w:lineRule="exact"/>
              <w:rPr>
                <w:rFonts w:hint="eastAsia"/>
                <w:szCs w:val="21"/>
              </w:rPr>
            </w:pPr>
            <w:r>
              <w:rPr>
                <w:rFonts w:hint="eastAsia"/>
                <w:szCs w:val="21"/>
              </w:rPr>
              <w:t>Q9.1.1</w:t>
            </w:r>
          </w:p>
          <w:p>
            <w:pPr>
              <w:spacing w:line="280" w:lineRule="exact"/>
              <w:rPr>
                <w:rFonts w:hint="eastAsia" w:ascii="宋体" w:hAnsi="宋体" w:cs="宋体"/>
                <w:color w:val="000000"/>
                <w:kern w:val="0"/>
                <w:szCs w:val="21"/>
                <w:lang w:val="en-US" w:eastAsia="zh-CN"/>
              </w:rPr>
            </w:pPr>
          </w:p>
        </w:tc>
        <w:tc>
          <w:tcPr>
            <w:tcW w:w="9939" w:type="dxa"/>
            <w:vAlign w:val="center"/>
          </w:tcPr>
          <w:p>
            <w:pPr>
              <w:spacing w:line="280" w:lineRule="exact"/>
              <w:ind w:firstLine="420" w:firstLineChars="200"/>
              <w:rPr>
                <w:rFonts w:hint="eastAsia"/>
                <w:color w:val="000000"/>
                <w:szCs w:val="21"/>
                <w:lang w:val="en-US" w:eastAsia="zh-CN"/>
              </w:rPr>
            </w:pPr>
            <w:r>
              <w:rPr>
                <w:rFonts w:hint="eastAsia" w:ascii="宋体" w:hAnsi="宋体" w:cs="宋体"/>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第一季度</w:t>
            </w:r>
            <w:r>
              <w:rPr>
                <w:rFonts w:hint="eastAsia" w:ascii="宋体" w:hAnsi="宋体" w:cs="宋体"/>
                <w:szCs w:val="21"/>
              </w:rPr>
              <w:t>的目标完成情况，公司及各部门的管理目标均能完成。</w:t>
            </w:r>
          </w:p>
        </w:tc>
        <w:tc>
          <w:tcPr>
            <w:tcW w:w="1585" w:type="dxa"/>
            <w:vAlign w:val="top"/>
          </w:tcPr>
          <w:p>
            <w:pPr>
              <w:spacing w:line="280" w:lineRule="exact"/>
              <w:rPr>
                <w:rFonts w:hint="eastAsia" w:eastAsia="宋体"/>
                <w:lang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b/>
                <w:szCs w:val="21"/>
              </w:rPr>
            </w:pPr>
            <w:r>
              <w:rPr>
                <w:rFonts w:hint="eastAsia" w:ascii="宋体" w:hAnsi="宋体" w:cs="Arial"/>
                <w:sz w:val="21"/>
                <w:szCs w:val="21"/>
              </w:rPr>
              <w:t>环境因素</w:t>
            </w:r>
            <w:r>
              <w:rPr>
                <w:rFonts w:hint="eastAsia" w:ascii="宋体" w:hAnsi="宋体" w:cs="Arial"/>
                <w:sz w:val="21"/>
                <w:szCs w:val="21"/>
                <w:lang w:eastAsia="zh-CN"/>
              </w:rPr>
              <w:t>、</w:t>
            </w:r>
            <w:r>
              <w:rPr>
                <w:rFonts w:hint="eastAsia" w:ascii="宋体" w:hAnsi="宋体" w:cs="Arial"/>
                <w:sz w:val="21"/>
                <w:szCs w:val="21"/>
                <w:lang w:val="en-US" w:eastAsia="zh-CN"/>
              </w:rPr>
              <w:t>危险源</w:t>
            </w:r>
            <w:r>
              <w:rPr>
                <w:rFonts w:hint="eastAsia" w:ascii="宋体" w:hAnsi="宋体" w:cs="Arial"/>
                <w:sz w:val="21"/>
                <w:szCs w:val="21"/>
              </w:rPr>
              <w:t>辨识与评价</w:t>
            </w:r>
          </w:p>
        </w:tc>
        <w:tc>
          <w:tcPr>
            <w:tcW w:w="1063" w:type="dxa"/>
          </w:tcPr>
          <w:p>
            <w:pPr>
              <w:spacing w:line="280" w:lineRule="exact"/>
              <w:rPr>
                <w:rFonts w:hint="default" w:eastAsia="宋体"/>
                <w:szCs w:val="21"/>
                <w:lang w:val="en-US" w:eastAsia="zh-CN"/>
              </w:rPr>
            </w:pPr>
            <w:r>
              <w:rPr>
                <w:rFonts w:hint="eastAsia"/>
                <w:szCs w:val="21"/>
                <w:lang w:val="en-US" w:eastAsia="zh-CN"/>
              </w:rPr>
              <w:t>EO6.1.2</w:t>
            </w:r>
          </w:p>
        </w:tc>
        <w:tc>
          <w:tcPr>
            <w:tcW w:w="9939" w:type="dxa"/>
            <w:vAlign w:val="center"/>
          </w:tcPr>
          <w:p>
            <w:pPr>
              <w:snapToGrid w:val="0"/>
              <w:spacing w:before="93" w:beforeLines="30" w:after="93" w:afterLines="30"/>
              <w:ind w:firstLine="420" w:firstLineChars="200"/>
            </w:pPr>
            <w:r>
              <w:rPr>
                <w:rFonts w:hint="eastAsia"/>
              </w:rPr>
              <w:t>提供了《环境因素识别与评价管理程序》</w:t>
            </w:r>
            <w:r>
              <w:rPr>
                <w:rFonts w:hint="eastAsia"/>
                <w:lang w:eastAsia="zh-CN"/>
              </w:rPr>
              <w:t>、《危险源辨识与风险评价控制措施管理程序》</w:t>
            </w:r>
            <w:r>
              <w:rPr>
                <w:rFonts w:hint="eastAsia"/>
              </w:rPr>
              <w:t>，对环境因素、危险源的识别、评价结果、控制手段等做出了规定。</w:t>
            </w:r>
          </w:p>
          <w:p>
            <w:pPr>
              <w:snapToGrid w:val="0"/>
              <w:spacing w:before="93" w:beforeLines="30" w:after="93" w:afterLines="30"/>
              <w:ind w:right="392" w:firstLine="420" w:firstLineChars="200"/>
            </w:pPr>
            <w:r>
              <w:rPr>
                <w:rFonts w:hint="eastAsia"/>
              </w:rPr>
              <w:t>部门负责人介绍了对环境因素、危险源进行了辨识，考虑了三种时态，过去、现在和将来，三种状态，正常、异常和紧急，按照办公区域及工作过程，另外按照区域及工作过程等进行了辨识。</w:t>
            </w:r>
          </w:p>
          <w:p>
            <w:pPr>
              <w:snapToGrid w:val="0"/>
              <w:spacing w:before="93" w:beforeLines="30" w:after="93" w:afterLines="30"/>
              <w:ind w:firstLine="420" w:firstLineChars="200"/>
              <w:rPr>
                <w:highlight w:val="none"/>
              </w:rPr>
            </w:pPr>
            <w:r>
              <w:rPr>
                <w:rFonts w:hint="eastAsia"/>
                <w:highlight w:val="none"/>
              </w:rPr>
              <w:t>查《环境因素识别评价表》，对生产和办公等有关过程的环境因素</w:t>
            </w:r>
            <w:r>
              <w:rPr>
                <w:rFonts w:hint="eastAsia"/>
                <w:highlight w:val="none"/>
                <w:lang w:val="en-US" w:eastAsia="zh-CN"/>
              </w:rPr>
              <w:t>识别</w:t>
            </w:r>
            <w:r>
              <w:rPr>
                <w:rFonts w:hint="eastAsia"/>
                <w:highlight w:val="none"/>
              </w:rPr>
              <w:t>。分别识别了日常办公过程中的固废、水资源消耗、电能消耗、火灾，生产过程（固废排放、噪声排放、火灾、爆炸、电能消耗、粉尘排放、噪声排放）、设备维修（废弃丢弃、漏油、</w:t>
            </w:r>
            <w:r>
              <w:rPr>
                <w:rFonts w:hint="eastAsia"/>
                <w:highlight w:val="none"/>
                <w:lang w:val="en-US" w:eastAsia="zh-CN"/>
              </w:rPr>
              <w:t>维修工具）</w:t>
            </w:r>
            <w:r>
              <w:rPr>
                <w:rFonts w:hint="eastAsia"/>
                <w:highlight w:val="none"/>
              </w:rPr>
              <w:t>等环境因素。</w:t>
            </w:r>
          </w:p>
          <w:p>
            <w:pPr>
              <w:snapToGrid w:val="0"/>
              <w:spacing w:before="93" w:beforeLines="30" w:after="93" w:afterLines="30"/>
              <w:ind w:right="392" w:firstLine="420" w:firstLineChars="200"/>
              <w:rPr>
                <w:rFonts w:hint="eastAsia"/>
              </w:rPr>
            </w:pPr>
            <w:r>
              <w:rPr>
                <w:rFonts w:hint="eastAsia"/>
              </w:rPr>
              <w:t>采用评分标准以打分的方式评价重要环境因素，评价出的重要环境因素为：水污染</w:t>
            </w:r>
            <w:r>
              <w:rPr>
                <w:rFonts w:hint="eastAsia"/>
                <w:lang w:eastAsia="zh-CN"/>
              </w:rPr>
              <w:t>、</w:t>
            </w:r>
            <w:r>
              <w:rPr>
                <w:rFonts w:hint="eastAsia"/>
              </w:rPr>
              <w:t>大气污染</w:t>
            </w:r>
            <w:r>
              <w:rPr>
                <w:rFonts w:hint="eastAsia"/>
                <w:lang w:eastAsia="zh-CN"/>
              </w:rPr>
              <w:t>、</w:t>
            </w:r>
            <w:r>
              <w:rPr>
                <w:rFonts w:hint="eastAsia"/>
              </w:rPr>
              <w:t>噪音污染</w:t>
            </w:r>
            <w:r>
              <w:rPr>
                <w:rFonts w:hint="eastAsia"/>
                <w:lang w:eastAsia="zh-CN"/>
              </w:rPr>
              <w:t>、</w:t>
            </w:r>
            <w:r>
              <w:rPr>
                <w:rFonts w:hint="eastAsia"/>
              </w:rPr>
              <w:t>固废污染</w:t>
            </w:r>
            <w:r>
              <w:rPr>
                <w:rFonts w:hint="eastAsia"/>
                <w:lang w:eastAsia="zh-CN"/>
              </w:rPr>
              <w:t>、</w:t>
            </w:r>
            <w:r>
              <w:rPr>
                <w:rFonts w:hint="eastAsia"/>
              </w:rPr>
              <w:t>紧急情况</w:t>
            </w:r>
            <w:r>
              <w:rPr>
                <w:rFonts w:hint="eastAsia"/>
                <w:lang w:eastAsia="zh-CN"/>
              </w:rPr>
              <w:t>（潜在的火灾，化学品的泄露、油品的泄露）。</w:t>
            </w:r>
          </w:p>
          <w:p>
            <w:pPr>
              <w:spacing w:before="93" w:beforeLines="30" w:after="93" w:afterLines="30"/>
              <w:ind w:firstLine="420" w:firstLineChars="200"/>
              <w:rPr>
                <w:highlight w:val="none"/>
              </w:rPr>
            </w:pPr>
            <w:r>
              <w:rPr>
                <w:rFonts w:hint="eastAsia"/>
                <w:highlight w:val="none"/>
              </w:rPr>
              <w:t>提供《危险源识别评价表》，对生产和办公等有关过程的</w:t>
            </w:r>
            <w:r>
              <w:rPr>
                <w:rFonts w:hint="eastAsia"/>
                <w:highlight w:val="none"/>
                <w:lang w:val="en-US" w:eastAsia="zh-CN"/>
              </w:rPr>
              <w:t>危险源识别。分别</w:t>
            </w:r>
            <w:r>
              <w:rPr>
                <w:rFonts w:hint="eastAsia"/>
                <w:highlight w:val="none"/>
              </w:rPr>
              <w:t>识别了办公过程中使用电脑产生电磁辐射、交通事故、触电和生产过程中的粉尘危害、高空维修作业</w:t>
            </w:r>
            <w:r>
              <w:rPr>
                <w:rFonts w:hint="eastAsia"/>
                <w:highlight w:val="none"/>
                <w:lang w:val="en-US" w:eastAsia="zh-CN"/>
              </w:rPr>
              <w:t>未防护</w:t>
            </w:r>
            <w:r>
              <w:rPr>
                <w:rFonts w:hint="eastAsia"/>
                <w:highlight w:val="none"/>
              </w:rPr>
              <w:t>、噪声伤害、机器漏电等危险源。</w:t>
            </w:r>
          </w:p>
          <w:p>
            <w:pPr>
              <w:snapToGrid w:val="0"/>
              <w:spacing w:before="93" w:beforeLines="30" w:after="93" w:afterLines="30"/>
              <w:ind w:firstLine="420" w:firstLineChars="200"/>
            </w:pPr>
            <w:r>
              <w:rPr>
                <w:rFonts w:hint="eastAsia"/>
              </w:rPr>
              <w:t>查《重要危险源清单》，公司涉及重大危险源</w:t>
            </w:r>
            <w:r>
              <w:rPr>
                <w:rFonts w:hint="eastAsia"/>
                <w:lang w:val="en-US" w:eastAsia="zh-CN"/>
              </w:rPr>
              <w:t>事故类别</w:t>
            </w:r>
            <w:r>
              <w:rPr>
                <w:rFonts w:hint="eastAsia"/>
              </w:rPr>
              <w:t>：机械伤害</w:t>
            </w:r>
            <w:r>
              <w:rPr>
                <w:rFonts w:hint="eastAsia"/>
                <w:lang w:eastAsia="zh-CN"/>
              </w:rPr>
              <w:t>、</w:t>
            </w:r>
            <w:r>
              <w:rPr>
                <w:rFonts w:hint="eastAsia"/>
              </w:rPr>
              <w:t>潜在火灾发生</w:t>
            </w:r>
            <w:r>
              <w:rPr>
                <w:rFonts w:hint="eastAsia"/>
                <w:lang w:eastAsia="zh-CN"/>
              </w:rPr>
              <w:t>、</w:t>
            </w:r>
            <w:r>
              <w:rPr>
                <w:rFonts w:hint="eastAsia"/>
              </w:rPr>
              <w:t>职业病（噪声耳聋、呼吸道损害）</w:t>
            </w:r>
            <w:r>
              <w:rPr>
                <w:rFonts w:hint="eastAsia"/>
                <w:lang w:eastAsia="zh-CN"/>
              </w:rPr>
              <w:t>、</w:t>
            </w:r>
            <w:r>
              <w:rPr>
                <w:rFonts w:hint="eastAsia"/>
              </w:rPr>
              <w:t>物体打击</w:t>
            </w:r>
            <w:r>
              <w:rPr>
                <w:rFonts w:hint="eastAsia"/>
                <w:lang w:eastAsia="zh-CN"/>
              </w:rPr>
              <w:t>、</w:t>
            </w:r>
            <w:r>
              <w:rPr>
                <w:rFonts w:hint="eastAsia"/>
              </w:rPr>
              <w:t>触电，本部门涉及的重大危险源：潜在火灾发生</w:t>
            </w:r>
            <w:r>
              <w:rPr>
                <w:rFonts w:hint="eastAsia"/>
                <w:lang w:eastAsia="zh-CN"/>
              </w:rPr>
              <w:t>、</w:t>
            </w:r>
            <w:r>
              <w:rPr>
                <w:rFonts w:hint="eastAsia"/>
              </w:rPr>
              <w:t>触电</w:t>
            </w:r>
            <w:r>
              <w:rPr>
                <w:rFonts w:hint="eastAsia"/>
                <w:lang w:val="en-US" w:eastAsia="zh-CN"/>
              </w:rPr>
              <w:t>等</w:t>
            </w:r>
            <w:r>
              <w:rPr>
                <w:rFonts w:hint="eastAsia"/>
              </w:rPr>
              <w:t>。</w:t>
            </w:r>
          </w:p>
          <w:p>
            <w:pPr>
              <w:spacing w:line="280" w:lineRule="exact"/>
              <w:ind w:firstLine="420" w:firstLineChars="200"/>
              <w:rPr>
                <w:rFonts w:hint="eastAsia" w:ascii="宋体" w:hAnsi="宋体" w:cs="宋体"/>
                <w:szCs w:val="21"/>
              </w:rPr>
            </w:pPr>
            <w:r>
              <w:rPr>
                <w:rFonts w:hint="eastAsia"/>
                <w:lang w:val="en-US" w:eastAsia="zh-CN"/>
              </w:rPr>
              <w:t>办公室</w:t>
            </w:r>
            <w:r>
              <w:rPr>
                <w:rFonts w:hint="eastAsia"/>
              </w:rPr>
              <w:t>环境因素、危险源的识别、评价基本符合标准要求。策划通过运行控制、管理方案、培训教育、应急预案等对重大环境因素/危险源实施控制，基本适宜。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center"/>
          </w:tcPr>
          <w:p>
            <w:pPr>
              <w:rPr>
                <w:rFonts w:hint="eastAsia"/>
                <w:b/>
                <w:szCs w:val="21"/>
              </w:rPr>
            </w:pPr>
            <w:r>
              <w:rPr>
                <w:rFonts w:hint="eastAsia" w:ascii="宋体" w:hAnsi="宋体" w:cs="Arial"/>
                <w:sz w:val="21"/>
                <w:szCs w:val="21"/>
                <w:lang w:val="en-US" w:eastAsia="zh-CN"/>
              </w:rPr>
              <w:t>措施的策划</w:t>
            </w:r>
          </w:p>
        </w:tc>
        <w:tc>
          <w:tcPr>
            <w:tcW w:w="1063" w:type="dxa"/>
            <w:vAlign w:val="center"/>
          </w:tcPr>
          <w:p>
            <w:pPr>
              <w:rPr>
                <w:rFonts w:hint="default" w:eastAsia="宋体"/>
                <w:szCs w:val="21"/>
                <w:lang w:val="en-US" w:eastAsia="zh-CN"/>
              </w:rPr>
            </w:pPr>
            <w:r>
              <w:rPr>
                <w:rFonts w:hint="eastAsia" w:ascii="宋体" w:hAnsi="宋体" w:cs="宋体"/>
                <w:kern w:val="2"/>
                <w:sz w:val="21"/>
                <w:szCs w:val="21"/>
                <w:highlight w:val="none"/>
                <w:lang w:val="en-US" w:eastAsia="zh-CN" w:bidi="ar-SA"/>
              </w:rPr>
              <w:t>EO6.1.4</w:t>
            </w:r>
          </w:p>
        </w:tc>
        <w:tc>
          <w:tcPr>
            <w:tcW w:w="9939"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lang w:val="en-US" w:eastAsia="zh-CN"/>
              </w:rPr>
              <w:t>技质部</w:t>
            </w:r>
            <w:r>
              <w:rPr>
                <w:rFonts w:hint="eastAsia" w:ascii="宋体" w:hAnsi="宋体" w:cs="宋体"/>
                <w:szCs w:val="21"/>
              </w:rPr>
              <w:t>负责制定本部门的环境、职业健康安全目标及管理方案，</w:t>
            </w:r>
            <w:r>
              <w:rPr>
                <w:rFonts w:hint="eastAsia" w:ascii="宋体" w:hAnsi="宋体" w:cs="宋体"/>
                <w:szCs w:val="21"/>
                <w:lang w:val="en-US" w:eastAsia="zh-CN"/>
              </w:rPr>
              <w:t>总经理</w:t>
            </w:r>
            <w:r>
              <w:rPr>
                <w:rFonts w:hint="eastAsia" w:ascii="宋体" w:hAnsi="宋体" w:cs="宋体"/>
                <w:szCs w:val="21"/>
                <w:lang w:eastAsia="zh-CN"/>
              </w:rPr>
              <w:t>张金方</w:t>
            </w:r>
            <w:r>
              <w:rPr>
                <w:rFonts w:hint="eastAsia" w:ascii="宋体" w:hAnsi="宋体" w:cs="宋体"/>
                <w:szCs w:val="21"/>
              </w:rPr>
              <w:t>负责批准。</w:t>
            </w:r>
          </w:p>
          <w:p>
            <w:pPr>
              <w:spacing w:line="280" w:lineRule="exact"/>
              <w:ind w:firstLine="420" w:firstLineChars="200"/>
              <w:rPr>
                <w:rFonts w:ascii="宋体" w:hAnsi="宋体" w:cs="宋体"/>
                <w:szCs w:val="21"/>
              </w:rPr>
            </w:pPr>
            <w:r>
              <w:rPr>
                <w:rFonts w:hint="eastAsia" w:ascii="宋体" w:hAnsi="宋体" w:cs="宋体"/>
                <w:szCs w:val="21"/>
              </w:rPr>
              <w:t>环境、职业健康安全管理方案中</w:t>
            </w:r>
            <w:r>
              <w:rPr>
                <w:rFonts w:hint="eastAsia" w:ascii="宋体" w:hAnsi="宋体" w:cs="宋体"/>
                <w:szCs w:val="21"/>
                <w:lang w:val="en-US" w:eastAsia="zh-CN"/>
              </w:rPr>
              <w:t>涉及到办公室的，</w:t>
            </w:r>
            <w:r>
              <w:rPr>
                <w:rFonts w:hint="eastAsia" w:ascii="宋体" w:hAnsi="宋体" w:cs="宋体"/>
                <w:szCs w:val="21"/>
              </w:rPr>
              <w:t>规定实现环境、职业健康安全目标和指标的时间；具体措施和经费预算；都由总经理批准。</w:t>
            </w:r>
            <w:r>
              <w:rPr>
                <w:rFonts w:hint="eastAsia" w:ascii="宋体" w:hAnsi="宋体" w:cs="宋体"/>
                <w:szCs w:val="21"/>
                <w:lang w:val="en-US" w:eastAsia="zh-CN"/>
              </w:rPr>
              <w:t>并在</w:t>
            </w:r>
            <w:r>
              <w:rPr>
                <w:rFonts w:hint="eastAsia" w:ascii="宋体" w:hAnsi="宋体" w:cs="宋体"/>
                <w:szCs w:val="21"/>
              </w:rPr>
              <w:t>管理评审之前对环境、职业健康安全目标及管理方案对其进行评审，并将完成情况以书面形式呈报</w:t>
            </w:r>
            <w:r>
              <w:rPr>
                <w:rFonts w:hint="eastAsia" w:ascii="宋体" w:hAnsi="宋体" w:cs="宋体"/>
                <w:szCs w:val="21"/>
                <w:lang w:val="en-US" w:eastAsia="zh-CN"/>
              </w:rPr>
              <w:t>总经理</w:t>
            </w:r>
            <w:r>
              <w:rPr>
                <w:rFonts w:hint="eastAsia" w:ascii="宋体" w:hAnsi="宋体" w:cs="宋体"/>
                <w:szCs w:val="21"/>
              </w:rPr>
              <w:t>，以便提交管理评审。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szCs w:val="21"/>
              </w:rPr>
            </w:pPr>
            <w:r>
              <w:rPr>
                <w:rFonts w:hint="eastAsia" w:ascii="宋体" w:hAnsi="宋体" w:cs="宋体"/>
                <w:szCs w:val="21"/>
                <w:highlight w:val="none"/>
                <w:lang w:val="en-US" w:eastAsia="zh-CN"/>
              </w:rPr>
              <w:t>根据办公室</w:t>
            </w:r>
            <w:r>
              <w:rPr>
                <w:rFonts w:hint="eastAsia" w:ascii="宋体" w:hAnsi="宋体" w:cs="宋体"/>
                <w:szCs w:val="21"/>
                <w:highlight w:val="none"/>
              </w:rPr>
              <w:t>根据所识别的环境因素和危险源，如污水排放</w:t>
            </w:r>
            <w:r>
              <w:rPr>
                <w:rFonts w:hint="eastAsia" w:ascii="宋体" w:hAnsi="宋体" w:cs="宋体"/>
                <w:szCs w:val="21"/>
                <w:highlight w:val="none"/>
                <w:lang w:eastAsia="zh-CN"/>
              </w:rPr>
              <w:t>、</w:t>
            </w:r>
            <w:r>
              <w:rPr>
                <w:rFonts w:hint="eastAsia" w:ascii="宋体" w:hAnsi="宋体" w:cs="宋体"/>
                <w:szCs w:val="21"/>
                <w:highlight w:val="none"/>
              </w:rPr>
              <w:t>废气排放</w:t>
            </w:r>
            <w:r>
              <w:rPr>
                <w:rFonts w:hint="eastAsia" w:ascii="宋体" w:hAnsi="宋体" w:cs="宋体"/>
                <w:szCs w:val="21"/>
                <w:highlight w:val="none"/>
                <w:lang w:eastAsia="zh-CN"/>
              </w:rPr>
              <w:t>、</w:t>
            </w:r>
            <w:r>
              <w:rPr>
                <w:rFonts w:hint="eastAsia" w:ascii="宋体" w:hAnsi="宋体" w:cs="宋体"/>
                <w:szCs w:val="21"/>
                <w:highlight w:val="none"/>
              </w:rPr>
              <w:t>厂界噪声排放</w:t>
            </w:r>
            <w:r>
              <w:rPr>
                <w:rFonts w:hint="eastAsia" w:ascii="宋体" w:hAnsi="宋体" w:cs="宋体"/>
                <w:szCs w:val="21"/>
                <w:highlight w:val="none"/>
                <w:lang w:eastAsia="zh-CN"/>
              </w:rPr>
              <w:t>、</w:t>
            </w:r>
            <w:r>
              <w:rPr>
                <w:rFonts w:hint="eastAsia" w:ascii="宋体" w:hAnsi="宋体" w:cs="宋体"/>
                <w:szCs w:val="21"/>
                <w:highlight w:val="none"/>
              </w:rPr>
              <w:t>危险废弃物处置</w:t>
            </w:r>
            <w:r>
              <w:rPr>
                <w:rFonts w:hint="eastAsia" w:ascii="宋体" w:hAnsi="宋体" w:cs="宋体"/>
                <w:szCs w:val="21"/>
                <w:highlight w:val="none"/>
                <w:lang w:eastAsia="zh-CN"/>
              </w:rPr>
              <w:t>、</w:t>
            </w:r>
            <w:r>
              <w:rPr>
                <w:rFonts w:hint="eastAsia" w:ascii="宋体" w:hAnsi="宋体" w:cs="宋体"/>
                <w:szCs w:val="21"/>
                <w:highlight w:val="none"/>
              </w:rPr>
              <w:t>火灾、爆炸事故等确定相应的控制措施。对触电、火灾等通过教育培训，编制预案等进行管理，以确保各类风险的识别。</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center"/>
          </w:tcPr>
          <w:p>
            <w:pPr>
              <w:rPr>
                <w:rFonts w:hint="default" w:ascii="宋体" w:hAnsi="宋体" w:cs="Arial"/>
                <w:sz w:val="21"/>
                <w:szCs w:val="21"/>
                <w:lang w:val="en-US" w:eastAsia="zh-CN"/>
              </w:rPr>
            </w:pPr>
            <w:r>
              <w:rPr>
                <w:rFonts w:hint="eastAsia" w:ascii="宋体" w:hAnsi="宋体" w:cs="Arial"/>
                <w:sz w:val="21"/>
                <w:szCs w:val="21"/>
                <w:lang w:val="en-US" w:eastAsia="zh-CN"/>
              </w:rPr>
              <w:t>总则</w:t>
            </w:r>
          </w:p>
        </w:tc>
        <w:tc>
          <w:tcPr>
            <w:tcW w:w="1063" w:type="dxa"/>
            <w:vAlign w:val="center"/>
          </w:tcPr>
          <w:p>
            <w:pPr>
              <w:rPr>
                <w:rFonts w:hint="eastAsia" w:ascii="宋体" w:hAnsi="宋体" w:eastAsia="宋体" w:cs="宋体"/>
                <w:kern w:val="2"/>
                <w:sz w:val="21"/>
                <w:szCs w:val="21"/>
                <w:highlight w:val="none"/>
                <w:lang w:val="en-US" w:eastAsia="zh-CN" w:bidi="ar-SA"/>
              </w:rPr>
            </w:pPr>
            <w:r>
              <w:rPr>
                <w:szCs w:val="21"/>
              </w:rPr>
              <w:t>E</w:t>
            </w:r>
            <w:r>
              <w:rPr>
                <w:rFonts w:hint="eastAsia"/>
                <w:szCs w:val="21"/>
                <w:lang w:val="en-US" w:eastAsia="zh-CN"/>
              </w:rPr>
              <w:t>O</w:t>
            </w:r>
            <w:r>
              <w:rPr>
                <w:rFonts w:ascii="宋体" w:hAnsi="宋体" w:cs="宋体"/>
                <w:szCs w:val="21"/>
              </w:rPr>
              <w:t>9.1.</w:t>
            </w:r>
            <w:r>
              <w:rPr>
                <w:rFonts w:hint="eastAsia" w:ascii="宋体" w:hAnsi="宋体" w:cs="宋体"/>
                <w:szCs w:val="21"/>
                <w:lang w:val="en-US" w:eastAsia="zh-CN"/>
              </w:rPr>
              <w:t>1</w:t>
            </w:r>
          </w:p>
        </w:tc>
        <w:tc>
          <w:tcPr>
            <w:tcW w:w="9939"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提供环境监测报告：</w:t>
            </w:r>
          </w:p>
          <w:p>
            <w:pPr>
              <w:pStyle w:val="2"/>
              <w:rPr>
                <w:rFonts w:hint="eastAsia"/>
                <w:lang w:val="en-US" w:eastAsia="zh-CN"/>
              </w:rPr>
            </w:pPr>
            <w:r>
              <w:rPr>
                <w:rFonts w:hint="eastAsia"/>
                <w:lang w:val="en-US" w:eastAsia="zh-CN"/>
              </w:rPr>
              <w:t>废水监测报告，编号：检02202202641，检测日期：2022年6月18日，检测机构：耐斯检测技术服务有限公司</w:t>
            </w:r>
          </w:p>
          <w:p>
            <w:pPr>
              <w:pStyle w:val="2"/>
              <w:rPr>
                <w:rFonts w:hint="eastAsia"/>
                <w:lang w:val="en-US" w:eastAsia="zh-CN"/>
              </w:rPr>
            </w:pPr>
            <w:r>
              <w:rPr>
                <w:rFonts w:hint="eastAsia"/>
                <w:lang w:val="en-US" w:eastAsia="zh-CN"/>
              </w:rPr>
              <w:t>废气监测报告，编号：检02202202642，检测日期：2022年7月1日，检测机构：耐斯检测技术服务有限公司</w:t>
            </w:r>
          </w:p>
          <w:p>
            <w:pPr>
              <w:pStyle w:val="2"/>
              <w:rPr>
                <w:rFonts w:hint="eastAsia"/>
                <w:lang w:val="en-US" w:eastAsia="zh-CN"/>
              </w:rPr>
            </w:pPr>
            <w:r>
              <w:rPr>
                <w:rFonts w:hint="eastAsia"/>
                <w:lang w:val="en-US" w:eastAsia="zh-CN"/>
              </w:rPr>
              <w:t>噪声监测报告，编号：检02202202643，检测日期：2022年6月14日，检测机构：耐斯检测技术服务有限公司</w:t>
            </w:r>
          </w:p>
          <w:p>
            <w:pPr>
              <w:pStyle w:val="2"/>
              <w:rPr>
                <w:rFonts w:hint="eastAsia"/>
                <w:lang w:val="en-US" w:eastAsia="zh-CN"/>
              </w:rPr>
            </w:pPr>
          </w:p>
          <w:p>
            <w:pPr>
              <w:pStyle w:val="2"/>
              <w:rPr>
                <w:rFonts w:hint="default"/>
                <w:lang w:val="en-US" w:eastAsia="zh-CN"/>
              </w:rPr>
            </w:pPr>
          </w:p>
          <w:p>
            <w:pPr>
              <w:pStyle w:val="10"/>
              <w:rPr>
                <w:rFonts w:hint="eastAsia" w:cs="宋体"/>
                <w:szCs w:val="21"/>
                <w:highlight w:val="none"/>
                <w:lang w:val="en-US" w:eastAsia="zh-CN"/>
              </w:rPr>
            </w:pPr>
            <w:r>
              <w:rPr>
                <w:rFonts w:hint="eastAsia" w:cs="宋体"/>
                <w:szCs w:val="21"/>
                <w:highlight w:val="none"/>
                <w:lang w:val="en-US" w:eastAsia="zh-CN"/>
              </w:rPr>
              <w:t>主要环境因素控制措施有效。</w:t>
            </w:r>
          </w:p>
          <w:p>
            <w:pPr>
              <w:pStyle w:val="10"/>
              <w:rPr>
                <w:rFonts w:hint="eastAsia" w:cs="宋体"/>
                <w:color w:val="FF0000"/>
                <w:szCs w:val="21"/>
                <w:highlight w:val="none"/>
                <w:lang w:val="en-US" w:eastAsia="zh-CN"/>
              </w:rPr>
            </w:pPr>
            <w:r>
              <w:rPr>
                <w:rFonts w:hint="eastAsia" w:cs="宋体"/>
                <w:color w:val="FF0000"/>
                <w:szCs w:val="21"/>
                <w:highlight w:val="none"/>
                <w:lang w:val="en-US" w:eastAsia="zh-CN"/>
              </w:rPr>
              <w:t>提供职业病危害因素检测报告：ZJXH(ZW)-2010099；日期：2020-11-5；报告结论：包漆车间甲酚、苯、甲苯、二甲苯、苯酚结论合格；拉丝车间的噪声结论不合格；包漆车间噪声合格；</w:t>
            </w:r>
          </w:p>
          <w:p>
            <w:pPr>
              <w:pStyle w:val="10"/>
              <w:rPr>
                <w:rFonts w:hint="default" w:cs="宋体"/>
                <w:szCs w:val="21"/>
                <w:highlight w:val="none"/>
                <w:lang w:val="en-US" w:eastAsia="zh-CN"/>
              </w:rPr>
            </w:pPr>
            <w:r>
              <w:rPr>
                <w:rFonts w:hint="eastAsia" w:cs="宋体"/>
                <w:color w:val="FF0000"/>
                <w:szCs w:val="21"/>
                <w:highlight w:val="yellow"/>
                <w:lang w:val="en-US" w:eastAsia="zh-CN"/>
              </w:rPr>
              <w:t>未提供拉丝车间和包漆车间岗位人员的体检信息。</w:t>
            </w:r>
          </w:p>
        </w:tc>
        <w:tc>
          <w:tcPr>
            <w:tcW w:w="1585" w:type="dxa"/>
          </w:tcPr>
          <w:p>
            <w:pPr>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合规性评价</w:t>
            </w:r>
          </w:p>
        </w:tc>
        <w:tc>
          <w:tcPr>
            <w:tcW w:w="1063" w:type="dxa"/>
            <w:vAlign w:val="top"/>
          </w:tcPr>
          <w:p>
            <w:pPr>
              <w:spacing w:line="280" w:lineRule="exact"/>
              <w:rPr>
                <w:rFonts w:ascii="宋体" w:hAnsi="宋体" w:cs="宋体"/>
                <w:szCs w:val="21"/>
              </w:rPr>
            </w:pPr>
            <w:r>
              <w:rPr>
                <w:rFonts w:ascii="宋体" w:hAnsi="宋体" w:cs="宋体"/>
                <w:szCs w:val="21"/>
              </w:rPr>
              <w:t>EO6.1.3</w:t>
            </w:r>
          </w:p>
          <w:p>
            <w:pPr>
              <w:spacing w:line="280" w:lineRule="exact"/>
              <w:rPr>
                <w:rFonts w:hint="eastAsia" w:ascii="宋体" w:hAnsi="宋体" w:eastAsia="宋体" w:cs="宋体"/>
                <w:kern w:val="2"/>
                <w:sz w:val="21"/>
                <w:szCs w:val="21"/>
                <w:lang w:val="en-US" w:eastAsia="zh-CN" w:bidi="ar-SA"/>
              </w:rPr>
            </w:pPr>
            <w:r>
              <w:rPr>
                <w:szCs w:val="21"/>
              </w:rPr>
              <w:t>E0</w:t>
            </w:r>
            <w:r>
              <w:rPr>
                <w:rFonts w:ascii="宋体" w:hAnsi="宋体" w:cs="宋体"/>
                <w:szCs w:val="21"/>
              </w:rPr>
              <w:t>9.1.2</w:t>
            </w:r>
          </w:p>
        </w:tc>
        <w:tc>
          <w:tcPr>
            <w:tcW w:w="9939" w:type="dxa"/>
            <w:vAlign w:val="center"/>
          </w:tcPr>
          <w:p>
            <w:pPr>
              <w:spacing w:line="280" w:lineRule="exact"/>
              <w:ind w:firstLine="420" w:firstLineChars="200"/>
              <w:rPr>
                <w:rFonts w:hint="eastAsia"/>
              </w:rPr>
            </w:pPr>
            <w:r>
              <w:rPr>
                <w:rFonts w:hint="eastAsia"/>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合规性评价</w:t>
            </w:r>
            <w:r>
              <w:rPr>
                <w:rFonts w:hint="eastAsia"/>
                <w:lang w:val="en-US" w:eastAsia="zh-CN"/>
              </w:rPr>
              <w:t>表（职业健康和安全）</w:t>
            </w:r>
            <w:r>
              <w:rPr>
                <w:rFonts w:hint="eastAsia"/>
              </w:rPr>
              <w:t>》，</w:t>
            </w:r>
            <w:r>
              <w:rPr>
                <w:rFonts w:hint="eastAsia"/>
                <w:lang w:val="en-US" w:eastAsia="zh-CN"/>
              </w:rPr>
              <w:t>对发对法规标准、适用的条款、危险源级活动以及判定依据进行了合规性评价，</w:t>
            </w:r>
            <w:r>
              <w:rPr>
                <w:rFonts w:hint="eastAsia"/>
              </w:rPr>
              <w:t>基本涵盖</w:t>
            </w:r>
            <w:r>
              <w:rPr>
                <w:rFonts w:hint="eastAsia"/>
                <w:lang w:val="en-US" w:eastAsia="zh-CN"/>
              </w:rPr>
              <w:t>职业健康和安全</w:t>
            </w:r>
            <w:r>
              <w:rPr>
                <w:rFonts w:hint="eastAsia"/>
              </w:rPr>
              <w:t>所涉及的各相关方。</w:t>
            </w:r>
          </w:p>
          <w:p>
            <w:pPr>
              <w:pStyle w:val="10"/>
              <w:rPr>
                <w:rFonts w:hint="eastAsia"/>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rFonts w:hint="eastAsia"/>
                <w:b/>
                <w:szCs w:val="21"/>
              </w:rPr>
            </w:pPr>
          </w:p>
        </w:tc>
        <w:tc>
          <w:tcPr>
            <w:tcW w:w="1063" w:type="dxa"/>
          </w:tcPr>
          <w:p>
            <w:pPr>
              <w:spacing w:line="280" w:lineRule="exact"/>
              <w:rPr>
                <w:rFonts w:hint="eastAsia"/>
                <w:b/>
                <w:szCs w:val="21"/>
              </w:rPr>
            </w:pPr>
            <w:r>
              <w:rPr>
                <w:rFonts w:hint="eastAsia"/>
                <w:szCs w:val="21"/>
              </w:rPr>
              <w:t>E</w:t>
            </w:r>
            <w:r>
              <w:rPr>
                <w:szCs w:val="21"/>
              </w:rPr>
              <w:t>O</w:t>
            </w:r>
            <w:r>
              <w:rPr>
                <w:rFonts w:hint="eastAsia"/>
                <w:szCs w:val="21"/>
              </w:rPr>
              <w:t>8.1</w:t>
            </w:r>
          </w:p>
        </w:tc>
        <w:tc>
          <w:tcPr>
            <w:tcW w:w="9939" w:type="dxa"/>
            <w:vAlign w:val="center"/>
          </w:tcPr>
          <w:p>
            <w:pPr>
              <w:spacing w:line="280" w:lineRule="exact"/>
              <w:ind w:firstLine="421"/>
              <w:rPr>
                <w:rFonts w:hint="eastAsia" w:ascii="宋体" w:hAnsi="宋体" w:cs="宋体"/>
                <w:szCs w:val="21"/>
              </w:rPr>
            </w:pPr>
            <w:r>
              <w:rPr>
                <w:rFonts w:hint="eastAsia" w:ascii="宋体" w:hAnsi="宋体" w:cs="宋体"/>
                <w:szCs w:val="21"/>
              </w:rPr>
              <w:t>编制与环境、安全管理体系运行控制有关的文件有《环境和安全运行控制程序》、《对相关方施加影响管理程序》《消防安全管理程序》</w:t>
            </w:r>
            <w:r>
              <w:rPr>
                <w:rFonts w:hint="eastAsia" w:ascii="宋体" w:hAnsi="宋体" w:cs="宋体"/>
                <w:szCs w:val="21"/>
                <w:lang w:eastAsia="zh-CN"/>
              </w:rPr>
              <w:t>、</w:t>
            </w:r>
            <w:r>
              <w:rPr>
                <w:rFonts w:hint="eastAsia" w:ascii="宋体" w:hAnsi="宋体" w:cs="宋体"/>
                <w:szCs w:val="21"/>
              </w:rPr>
              <w:t>《员工健康卫生管理程序》等。</w:t>
            </w:r>
          </w:p>
          <w:p>
            <w:pPr>
              <w:spacing w:line="280" w:lineRule="exact"/>
              <w:ind w:firstLine="420" w:firstLineChars="200"/>
              <w:rPr>
                <w:rFonts w:hint="eastAsia" w:ascii="宋体" w:hAnsi="宋体" w:cs="Times New Roman"/>
                <w:color w:val="000000"/>
                <w:lang w:val="en-US" w:eastAsia="zh-CN"/>
              </w:rPr>
            </w:pPr>
            <w:r>
              <w:rPr>
                <w:rFonts w:hint="eastAsia"/>
                <w:highlight w:val="none"/>
              </w:rPr>
              <w:t>查到环评</w:t>
            </w:r>
            <w:r>
              <w:rPr>
                <w:rFonts w:hint="eastAsia"/>
                <w:highlight w:val="none"/>
                <w:lang w:val="en-US" w:eastAsia="zh-CN"/>
              </w:rPr>
              <w:t>信息</w:t>
            </w:r>
            <w:r>
              <w:rPr>
                <w:rFonts w:hint="eastAsia"/>
                <w:highlight w:val="none"/>
              </w:rPr>
              <w:t>，</w:t>
            </w:r>
            <w:r>
              <w:rPr>
                <w:rFonts w:hint="eastAsia" w:ascii="宋体" w:hAnsi="宋体" w:cs="宋体"/>
                <w:szCs w:val="21"/>
                <w:lang w:val="en-US" w:eastAsia="zh-CN"/>
              </w:rPr>
              <w:t>环评报告批复和验收申请的单位为湖州市练市神龙电讯厂128号；排污许可证编号：913305036639305673001W;  又提供：；经核查，浙江鼎强电气科技有限公司的生产过程、生产线、生产量均与湖州市练市神龙电讯厂</w:t>
            </w:r>
            <w:r>
              <w:rPr>
                <w:rFonts w:hint="eastAsia" w:ascii="宋体" w:hAnsi="宋体" w:cs="Times New Roman"/>
                <w:color w:val="000000"/>
                <w:lang w:val="en-US" w:eastAsia="zh-CN"/>
              </w:rPr>
              <w:t>环评批复验收的信息一致；</w:t>
            </w:r>
          </w:p>
          <w:p>
            <w:pPr>
              <w:spacing w:line="280" w:lineRule="exact"/>
              <w:ind w:firstLine="420" w:firstLineChars="200"/>
              <w:rPr>
                <w:rFonts w:hint="eastAsia" w:ascii="宋体" w:hAnsi="宋体" w:cs="Times New Roman"/>
                <w:color w:val="000000"/>
                <w:lang w:val="en-US" w:eastAsia="zh-CN"/>
              </w:rPr>
            </w:pPr>
            <w:r>
              <w:rPr>
                <w:rFonts w:hint="eastAsia" w:ascii="宋体" w:hAnsi="宋体" w:cs="Times New Roman"/>
                <w:color w:val="000000"/>
                <w:lang w:val="en-US" w:eastAsia="zh-CN"/>
              </w:rPr>
              <w:t>湖州市练市神龙电讯厂的环评批复文件为湖环建[2007]128号</w:t>
            </w:r>
            <w:r>
              <w:rPr>
                <w:rFonts w:hint="eastAsia" w:ascii="宋体" w:hAnsi="宋体"/>
                <w:color w:val="000000"/>
                <w:lang w:val="en-US" w:eastAsia="zh-CN"/>
              </w:rPr>
              <w:t>，环评验收意见文件为湖环建验</w:t>
            </w:r>
            <w:r>
              <w:rPr>
                <w:rFonts w:hint="eastAsia" w:ascii="宋体" w:hAnsi="宋体" w:cs="Times New Roman"/>
                <w:color w:val="000000"/>
                <w:lang w:val="en-US" w:eastAsia="zh-CN"/>
              </w:rPr>
              <w:t>[2010]63号；</w:t>
            </w:r>
          </w:p>
          <w:p>
            <w:pPr>
              <w:pStyle w:val="10"/>
              <w:ind w:left="0" w:leftChars="0" w:firstLine="0" w:firstLineChars="0"/>
              <w:rPr>
                <w:rFonts w:hint="default"/>
                <w:lang w:val="en-US" w:eastAsia="zh-CN"/>
              </w:rPr>
            </w:pPr>
            <w:r>
              <w:rPr>
                <w:rFonts w:hint="eastAsia" w:cs="Times New Roman"/>
                <w:color w:val="000000"/>
                <w:lang w:val="en-US" w:eastAsia="zh-CN"/>
              </w:rPr>
              <w:t xml:space="preserve">    公司实施安全标准化管理，并通过南浔区验收。</w:t>
            </w:r>
          </w:p>
          <w:p>
            <w:pPr>
              <w:pStyle w:val="10"/>
              <w:ind w:left="0" w:leftChars="0" w:firstLine="420" w:firstLineChars="200"/>
              <w:rPr>
                <w:rFonts w:hint="eastAsia"/>
                <w:highlight w:val="none"/>
              </w:rPr>
            </w:pPr>
            <w:r>
              <w:rPr>
                <w:rFonts w:hint="eastAsia" w:ascii="宋体" w:hAnsi="宋体"/>
                <w:color w:val="000000"/>
                <w:lang w:val="en-US" w:eastAsia="zh-CN"/>
              </w:rPr>
              <w:t>浙江鼎强电气科技有限公司租用湖州市练市神龙电讯厂的厂房，湖州市练市神龙电讯厂实际与浙江鼎强电气科技有限公司一套班子，两块牌子； 且湖州市练市神龙电讯厂公司无实际生产</w:t>
            </w:r>
            <w:r>
              <w:rPr>
                <w:rFonts w:hint="eastAsia" w:ascii="宋体" w:hAnsi="宋体" w:cs="宋体"/>
                <w:szCs w:val="21"/>
                <w:lang w:val="en-US" w:eastAsia="zh-CN"/>
              </w:rPr>
              <w:t>量</w:t>
            </w:r>
            <w:r>
              <w:rPr>
                <w:rFonts w:hint="eastAsia"/>
                <w:highlight w:val="none"/>
              </w:rPr>
              <w:t>。</w:t>
            </w:r>
          </w:p>
          <w:p>
            <w:pPr>
              <w:pStyle w:val="10"/>
              <w:ind w:left="0" w:leftChars="0" w:firstLine="420" w:firstLineChars="200"/>
              <w:rPr>
                <w:rFonts w:hint="default" w:eastAsia="宋体"/>
                <w:highlight w:val="none"/>
                <w:lang w:val="en-US" w:eastAsia="zh-CN"/>
              </w:rPr>
            </w:pPr>
            <w:r>
              <w:rPr>
                <w:rFonts w:hint="eastAsia"/>
                <w:highlight w:val="none"/>
                <w:lang w:val="en-US" w:eastAsia="zh-CN"/>
              </w:rPr>
              <w:t>提供环境因素和危害因子的监测报告。</w:t>
            </w:r>
          </w:p>
          <w:p>
            <w:pPr>
              <w:tabs>
                <w:tab w:val="left" w:pos="2100"/>
              </w:tabs>
              <w:spacing w:line="280" w:lineRule="exact"/>
              <w:ind w:firstLine="421"/>
              <w:rPr>
                <w:rFonts w:hint="eastAsia" w:ascii="宋体" w:hAnsi="宋体" w:cs="宋体"/>
                <w:szCs w:val="21"/>
              </w:rPr>
            </w:pPr>
            <w:r>
              <w:rPr>
                <w:rFonts w:hint="eastAsia" w:ascii="宋体" w:hAnsi="宋体" w:cs="宋体"/>
                <w:szCs w:val="21"/>
              </w:rPr>
              <w:t>1、废水管控</w:t>
            </w:r>
          </w:p>
          <w:p>
            <w:pPr>
              <w:tabs>
                <w:tab w:val="left" w:pos="2100"/>
              </w:tabs>
              <w:spacing w:line="280" w:lineRule="exact"/>
              <w:ind w:firstLine="421"/>
              <w:rPr>
                <w:rFonts w:hint="default" w:ascii="宋体" w:hAnsi="宋体" w:eastAsia="宋体" w:cs="宋体"/>
                <w:szCs w:val="21"/>
                <w:lang w:val="en-US" w:eastAsia="zh-CN"/>
              </w:rPr>
            </w:pPr>
            <w:r>
              <w:rPr>
                <w:rFonts w:hint="eastAsia" w:ascii="宋体" w:hAnsi="宋体" w:cs="宋体"/>
                <w:szCs w:val="21"/>
                <w:lang w:val="en-US" w:eastAsia="zh-CN"/>
              </w:rPr>
              <w:t>生产过程中不产生生产污水，</w:t>
            </w:r>
            <w:r>
              <w:rPr>
                <w:rFonts w:hint="eastAsia" w:ascii="宋体" w:hAnsi="宋体" w:cs="宋体"/>
                <w:szCs w:val="21"/>
              </w:rPr>
              <w:t>主要生活废水排入政府污水管网统一处理。</w:t>
            </w:r>
            <w:r>
              <w:rPr>
                <w:rFonts w:hint="eastAsia" w:ascii="宋体" w:hAnsi="宋体" w:cs="宋体"/>
                <w:szCs w:val="21"/>
                <w:lang w:val="en-US" w:eastAsia="zh-CN"/>
              </w:rPr>
              <w:t>环评规定不允许企业排放工业污水。废油、液等以危险废物处理。</w:t>
            </w:r>
          </w:p>
          <w:p>
            <w:pPr>
              <w:tabs>
                <w:tab w:val="left" w:pos="2100"/>
              </w:tabs>
              <w:spacing w:line="280" w:lineRule="exact"/>
              <w:ind w:firstLine="421"/>
              <w:rPr>
                <w:rFonts w:hint="eastAsia" w:ascii="宋体" w:hAnsi="宋体" w:cs="宋体"/>
                <w:szCs w:val="21"/>
              </w:rPr>
            </w:pPr>
            <w:r>
              <w:rPr>
                <w:rFonts w:hint="eastAsia" w:ascii="宋体" w:hAnsi="宋体" w:cs="宋体"/>
                <w:szCs w:val="21"/>
              </w:rPr>
              <w:t>2、废气管控</w:t>
            </w:r>
          </w:p>
          <w:p>
            <w:pPr>
              <w:tabs>
                <w:tab w:val="left" w:pos="2100"/>
              </w:tabs>
              <w:spacing w:line="280" w:lineRule="exact"/>
              <w:ind w:firstLine="421"/>
              <w:rPr>
                <w:rFonts w:hint="eastAsia" w:ascii="宋体"/>
                <w:color w:val="000000"/>
                <w:sz w:val="20"/>
                <w:szCs w:val="20"/>
                <w:lang w:val="en-US" w:eastAsia="zh-CN"/>
              </w:rPr>
            </w:pPr>
            <w:r>
              <w:rPr>
                <w:rFonts w:hint="eastAsia" w:ascii="宋体" w:hAnsi="宋体" w:cs="宋体"/>
                <w:szCs w:val="21"/>
              </w:rPr>
              <w:t>办公现场基本无废气排放。</w:t>
            </w:r>
            <w:r>
              <w:rPr>
                <w:rFonts w:hint="eastAsia" w:ascii="宋体" w:hAnsi="宋体" w:cs="宋体"/>
                <w:szCs w:val="21"/>
                <w:lang w:val="en-US" w:eastAsia="zh-CN"/>
              </w:rPr>
              <w:t>包漆车间装有</w:t>
            </w:r>
            <w:r>
              <w:rPr>
                <w:rFonts w:hint="eastAsia" w:ascii="宋体"/>
                <w:color w:val="000000"/>
                <w:sz w:val="20"/>
                <w:szCs w:val="20"/>
                <w:lang w:val="en-US" w:eastAsia="zh-CN"/>
              </w:rPr>
              <w:t>装有废气自动在线监测装置（环保局要求安装），排放废气信息直接接入环保监测平台；未有超标排放情况；</w:t>
            </w:r>
          </w:p>
          <w:p>
            <w:pPr>
              <w:pStyle w:val="10"/>
              <w:ind w:left="0" w:leftChars="0" w:firstLine="0" w:firstLineChars="0"/>
              <w:rPr>
                <w:rFonts w:hint="default"/>
                <w:lang w:val="en-US" w:eastAsia="zh-CN"/>
              </w:rPr>
            </w:pPr>
            <w:r>
              <w:rPr>
                <w:rFonts w:hint="eastAsia"/>
                <w:color w:val="000000"/>
                <w:sz w:val="20"/>
                <w:szCs w:val="20"/>
                <w:lang w:val="en-US" w:eastAsia="zh-CN"/>
              </w:rPr>
              <w:t xml:space="preserve">    安全监测未超标，岗位要求佩戴口罩，由生产部统一发放口罩； </w:t>
            </w:r>
          </w:p>
          <w:p>
            <w:pPr>
              <w:tabs>
                <w:tab w:val="left" w:pos="2100"/>
              </w:tabs>
              <w:spacing w:line="280" w:lineRule="exact"/>
              <w:ind w:firstLine="421"/>
              <w:rPr>
                <w:rFonts w:hint="eastAsia" w:ascii="宋体" w:hAnsi="宋体" w:cs="宋体"/>
                <w:szCs w:val="21"/>
              </w:rPr>
            </w:pPr>
            <w:r>
              <w:rPr>
                <w:rFonts w:hint="eastAsia" w:ascii="宋体" w:hAnsi="宋体" w:cs="宋体"/>
                <w:szCs w:val="21"/>
              </w:rPr>
              <w:t>3、噪声管控</w:t>
            </w:r>
          </w:p>
          <w:p>
            <w:pPr>
              <w:tabs>
                <w:tab w:val="left" w:pos="2100"/>
              </w:tabs>
              <w:spacing w:line="280" w:lineRule="exact"/>
              <w:ind w:firstLine="421"/>
              <w:rPr>
                <w:rFonts w:hint="eastAsia" w:ascii="宋体" w:hAnsi="宋体" w:cs="宋体"/>
                <w:szCs w:val="21"/>
              </w:rPr>
            </w:pPr>
            <w:r>
              <w:rPr>
                <w:rFonts w:hint="eastAsia" w:ascii="宋体" w:hAnsi="宋体" w:cs="宋体"/>
                <w:szCs w:val="21"/>
              </w:rPr>
              <w:t>办公噪声主要是复印机运行，噪声较低，采取措施按时清洁保养。</w:t>
            </w:r>
          </w:p>
          <w:p>
            <w:pPr>
              <w:tabs>
                <w:tab w:val="left" w:pos="2100"/>
              </w:tabs>
              <w:spacing w:line="280" w:lineRule="exact"/>
              <w:ind w:firstLine="421"/>
              <w:rPr>
                <w:rFonts w:hint="default" w:ascii="宋体" w:hAnsi="宋体" w:eastAsia="宋体" w:cs="宋体"/>
                <w:szCs w:val="21"/>
                <w:lang w:val="en-US" w:eastAsia="zh-CN"/>
              </w:rPr>
            </w:pPr>
            <w:r>
              <w:rPr>
                <w:rFonts w:hint="eastAsia" w:ascii="宋体" w:hAnsi="宋体" w:cs="宋体"/>
                <w:szCs w:val="21"/>
                <w:lang w:val="en-US" w:eastAsia="zh-CN"/>
              </w:rPr>
              <w:t>车间机械噪声发放耳塞劳保用品进行防护。</w:t>
            </w:r>
          </w:p>
          <w:p>
            <w:pPr>
              <w:tabs>
                <w:tab w:val="left" w:pos="2100"/>
              </w:tabs>
              <w:spacing w:line="280" w:lineRule="exact"/>
              <w:ind w:firstLine="421"/>
              <w:rPr>
                <w:rFonts w:hint="eastAsia" w:ascii="宋体" w:hAnsi="宋体" w:cs="宋体"/>
                <w:szCs w:val="21"/>
              </w:rPr>
            </w:pPr>
            <w:r>
              <w:rPr>
                <w:rFonts w:hint="eastAsia" w:ascii="宋体" w:hAnsi="宋体" w:cs="宋体"/>
                <w:szCs w:val="21"/>
              </w:rPr>
              <w:t>4、固废管控</w:t>
            </w:r>
          </w:p>
          <w:p>
            <w:pPr>
              <w:tabs>
                <w:tab w:val="left" w:pos="2100"/>
              </w:tabs>
              <w:spacing w:line="280" w:lineRule="exact"/>
              <w:ind w:firstLine="421"/>
              <w:rPr>
                <w:rFonts w:hint="default" w:ascii="宋体" w:hAnsi="宋体" w:cs="宋体"/>
                <w:szCs w:val="21"/>
                <w:lang w:val="en-US" w:eastAsia="zh-CN"/>
              </w:rPr>
            </w:pPr>
            <w:r>
              <w:rPr>
                <w:rFonts w:hint="eastAsia" w:ascii="宋体" w:hAnsi="宋体" w:cs="宋体"/>
                <w:szCs w:val="21"/>
                <w:lang w:val="en-US" w:eastAsia="zh-CN"/>
              </w:rPr>
              <w:t>生产过程</w:t>
            </w:r>
            <w:r>
              <w:rPr>
                <w:rFonts w:hint="eastAsia" w:ascii="Times New Roman" w:hAnsi="Times New Roman" w:cs="Times New Roman"/>
                <w:lang w:val="en-US" w:eastAsia="zh-CN"/>
              </w:rPr>
              <w:t>产生的拉丝用废油、废聚氨酯漆、废催化剂、废皂化液、废抹布、废油泥、溶剂油、废乳化液、废毛毡、铜泥等，以及包装材料； 包装材料由供应商厂家回收，采购协议中明确要求。其他固废按危险固废处理，公司与浙江金泰莱环保科技有限公司签订《危险废物处置合同》，列入合同的有四类为国家危险废物目录内废物。</w:t>
            </w:r>
          </w:p>
          <w:p>
            <w:pPr>
              <w:tabs>
                <w:tab w:val="left" w:pos="2100"/>
              </w:tabs>
              <w:spacing w:line="280" w:lineRule="exact"/>
              <w:ind w:firstLine="421"/>
              <w:rPr>
                <w:rFonts w:hint="eastAsia" w:ascii="宋体" w:hAnsi="宋体" w:cs="宋体"/>
                <w:szCs w:val="21"/>
              </w:rPr>
            </w:pPr>
            <w:r>
              <w:rPr>
                <w:rFonts w:hint="eastAsia" w:ascii="宋体" w:hAnsi="宋体" w:cs="宋体"/>
                <w:szCs w:val="21"/>
              </w:rPr>
              <w:t>主要为生活垃圾，办公室有垃圾篓集中倒入垃圾站由市政环卫运送至统一地点集中处理</w:t>
            </w:r>
            <w:r>
              <w:rPr>
                <w:rFonts w:hint="eastAsia" w:ascii="宋体" w:hAnsi="宋体" w:cs="宋体"/>
                <w:szCs w:val="21"/>
                <w:lang w:eastAsia="zh-CN"/>
              </w:rPr>
              <w:t>，</w:t>
            </w:r>
            <w:r>
              <w:rPr>
                <w:rFonts w:hint="eastAsia" w:ascii="宋体" w:hAnsi="宋体" w:cs="宋体"/>
                <w:szCs w:val="21"/>
                <w:lang w:val="en-US" w:eastAsia="zh-CN"/>
              </w:rPr>
              <w:t>提供与村委会签订的垃圾清运协议</w:t>
            </w:r>
            <w:r>
              <w:rPr>
                <w:rFonts w:hint="eastAsia" w:ascii="宋体" w:hAnsi="宋体" w:cs="宋体"/>
                <w:szCs w:val="21"/>
              </w:rPr>
              <w:t>。</w:t>
            </w:r>
          </w:p>
          <w:p>
            <w:pPr>
              <w:numPr>
                <w:ilvl w:val="0"/>
                <w:numId w:val="0"/>
              </w:numPr>
              <w:tabs>
                <w:tab w:val="left" w:pos="2100"/>
              </w:tabs>
              <w:spacing w:line="280" w:lineRule="exact"/>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能源资源管控</w:t>
            </w:r>
          </w:p>
          <w:p>
            <w:pPr>
              <w:tabs>
                <w:tab w:val="left" w:pos="2100"/>
              </w:tabs>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销售过程注意节水、节电、节油，人走关闭开关，现场采用声控节能灯，未发现有漏水和浪费电能的现象。</w:t>
            </w:r>
          </w:p>
          <w:p>
            <w:pPr>
              <w:tabs>
                <w:tab w:val="left" w:pos="2100"/>
              </w:tabs>
              <w:spacing w:line="280" w:lineRule="exact"/>
              <w:ind w:firstLine="421"/>
              <w:rPr>
                <w:rFonts w:hint="eastAsia" w:ascii="宋体" w:hAnsi="宋体" w:cs="宋体"/>
                <w:szCs w:val="21"/>
              </w:rPr>
            </w:pPr>
            <w:r>
              <w:rPr>
                <w:rFonts w:hint="eastAsia" w:ascii="宋体" w:hAnsi="宋体" w:cs="宋体"/>
                <w:szCs w:val="21"/>
              </w:rPr>
              <w:t>6、潜在火灾管控</w:t>
            </w:r>
          </w:p>
          <w:p>
            <w:pPr>
              <w:spacing w:line="28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rPr>
              <w:t>公司办公室现场</w:t>
            </w:r>
            <w:r>
              <w:rPr>
                <w:rFonts w:hint="eastAsia" w:ascii="宋体" w:hAnsi="宋体" w:cs="宋体"/>
                <w:szCs w:val="21"/>
                <w:highlight w:val="none"/>
                <w:lang w:val="en-US" w:eastAsia="zh-CN"/>
              </w:rPr>
              <w:t>配备</w:t>
            </w:r>
            <w:r>
              <w:rPr>
                <w:rFonts w:hint="eastAsia" w:ascii="宋体" w:hAnsi="宋体" w:cs="宋体"/>
                <w:szCs w:val="21"/>
                <w:highlight w:val="none"/>
              </w:rPr>
              <w:t>灭火器，</w:t>
            </w:r>
            <w:r>
              <w:rPr>
                <w:rFonts w:hint="eastAsia" w:ascii="宋体" w:hAnsi="宋体" w:cs="宋体"/>
                <w:szCs w:val="21"/>
                <w:highlight w:val="none"/>
                <w:lang w:val="en-US" w:eastAsia="zh-CN"/>
              </w:rPr>
              <w:t>提供了</w:t>
            </w:r>
            <w:r>
              <w:rPr>
                <w:rFonts w:hint="eastAsia" w:ascii="宋体" w:hAnsi="宋体" w:cs="宋体"/>
                <w:szCs w:val="21"/>
                <w:highlight w:val="none"/>
              </w:rPr>
              <w:t>防安全检查相关记录</w:t>
            </w:r>
            <w:r>
              <w:rPr>
                <w:rFonts w:hint="eastAsia" w:ascii="宋体" w:hAnsi="宋体" w:cs="宋体"/>
                <w:szCs w:val="21"/>
                <w:highlight w:val="none"/>
                <w:lang w:eastAsia="zh-CN"/>
              </w:rPr>
              <w:t>。</w:t>
            </w:r>
          </w:p>
          <w:p>
            <w:pPr>
              <w:tabs>
                <w:tab w:val="left" w:pos="2100"/>
              </w:tabs>
              <w:spacing w:line="280" w:lineRule="exact"/>
              <w:ind w:firstLine="421"/>
              <w:rPr>
                <w:rFonts w:hint="eastAsia" w:ascii="宋体" w:hAnsi="宋体" w:cs="宋体"/>
                <w:szCs w:val="21"/>
                <w:lang w:val="en-US" w:eastAsia="zh-CN"/>
              </w:rPr>
            </w:pPr>
            <w:r>
              <w:rPr>
                <w:rFonts w:hint="eastAsia" w:ascii="宋体" w:hAnsi="宋体" w:cs="宋体"/>
                <w:szCs w:val="21"/>
                <w:lang w:val="en-US" w:eastAsia="zh-CN"/>
              </w:rPr>
              <w:t>7、机械伤害</w:t>
            </w:r>
          </w:p>
          <w:p>
            <w:pPr>
              <w:tabs>
                <w:tab w:val="left" w:pos="2100"/>
              </w:tabs>
              <w:spacing w:line="280" w:lineRule="exact"/>
              <w:ind w:firstLine="421"/>
              <w:rPr>
                <w:rFonts w:hint="eastAsia" w:ascii="宋体" w:hAnsi="宋体" w:cs="宋体"/>
                <w:szCs w:val="21"/>
                <w:lang w:val="en-US" w:eastAsia="zh-CN"/>
              </w:rPr>
            </w:pPr>
            <w:r>
              <w:rPr>
                <w:rFonts w:hint="eastAsia" w:ascii="宋体" w:hAnsi="宋体" w:cs="宋体"/>
                <w:szCs w:val="21"/>
                <w:lang w:val="en-US" w:eastAsia="zh-CN"/>
              </w:rPr>
              <w:t>识别机械伤害危险源场所，使用防护网（罩）、机械安全按扭、现场张贴安全告知信息等措施管理； 提供相关检查记录。</w:t>
            </w:r>
          </w:p>
          <w:p>
            <w:pPr>
              <w:numPr>
                <w:ilvl w:val="0"/>
                <w:numId w:val="0"/>
              </w:numPr>
              <w:ind w:left="421" w:leftChars="0"/>
              <w:jc w:val="left"/>
              <w:rPr>
                <w:rFonts w:hint="default" w:eastAsia="宋体"/>
                <w:lang w:val="en-US" w:eastAsia="zh-CN"/>
              </w:rPr>
            </w:pPr>
            <w:r>
              <w:rPr>
                <w:rFonts w:hint="eastAsia"/>
                <w:lang w:val="en-US" w:eastAsia="zh-CN"/>
              </w:rPr>
              <w:t>8、</w:t>
            </w:r>
            <w:r>
              <w:rPr>
                <w:rFonts w:hint="eastAsia"/>
              </w:rPr>
              <w:t>安全防护</w:t>
            </w:r>
            <w:r>
              <w:rPr>
                <w:rFonts w:hint="eastAsia"/>
                <w:lang w:val="en-US" w:eastAsia="zh-CN"/>
              </w:rPr>
              <w:t>及防疫控制</w:t>
            </w:r>
          </w:p>
          <w:p>
            <w:pPr>
              <w:pStyle w:val="10"/>
              <w:ind w:left="0" w:leftChars="0" w:firstLine="420" w:firstLineChars="0"/>
              <w:rPr>
                <w:rFonts w:hint="eastAsia"/>
                <w:lang w:val="en-US" w:eastAsia="zh-CN"/>
              </w:rPr>
            </w:pPr>
            <w:r>
              <w:rPr>
                <w:rFonts w:hint="eastAsia"/>
                <w:lang w:val="en-US" w:eastAsia="zh-CN"/>
              </w:rPr>
              <w:t>车间使用劳保用品由生产部发放。</w:t>
            </w:r>
          </w:p>
          <w:p>
            <w:pPr>
              <w:pStyle w:val="10"/>
              <w:ind w:left="0" w:leftChars="0" w:firstLine="420" w:firstLineChars="0"/>
              <w:rPr>
                <w:rFonts w:hint="default"/>
                <w:lang w:val="en-US" w:eastAsia="zh-CN"/>
              </w:rPr>
            </w:pPr>
            <w:r>
              <w:rPr>
                <w:rFonts w:hint="eastAsia"/>
                <w:lang w:val="en-US" w:eastAsia="zh-CN"/>
              </w:rPr>
              <w:t>疫情防控进出人员体温检测，要求人员外出佩戴口罩；由办公室统一发放。</w:t>
            </w:r>
          </w:p>
          <w:p>
            <w:pPr>
              <w:numPr>
                <w:ilvl w:val="0"/>
                <w:numId w:val="0"/>
              </w:numPr>
              <w:spacing w:line="280" w:lineRule="exact"/>
              <w:ind w:firstLine="420" w:firstLineChars="200"/>
              <w:rPr>
                <w:rFonts w:hint="default"/>
                <w:lang w:val="en-US" w:eastAsia="zh-CN"/>
              </w:rPr>
            </w:pPr>
            <w:r>
              <w:rPr>
                <w:rFonts w:hint="eastAsia"/>
                <w:lang w:val="en-US" w:eastAsia="zh-CN"/>
              </w:rPr>
              <w:t>9、查运行记录：3月查每月进行工作环境、安全检查记录，涉及内容包含：消防通道、消防器材，作业环境，化学品适用储存，人员作业等方面的检查，检查人曹玉婷，审批张金方。未出现不合格情况。。</w:t>
            </w:r>
          </w:p>
          <w:p>
            <w:pPr>
              <w:spacing w:line="280" w:lineRule="exact"/>
              <w:ind w:firstLine="420" w:firstLineChars="200"/>
              <w:rPr>
                <w:rFonts w:hint="eastAsia"/>
                <w:b/>
                <w:szCs w:val="21"/>
              </w:rPr>
            </w:pPr>
            <w:r>
              <w:rPr>
                <w:rFonts w:hint="eastAsia" w:ascii="宋体" w:hAnsi="宋体" w:cs="宋体"/>
                <w:szCs w:val="21"/>
              </w:rPr>
              <w:t>现场巡视：本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tc>
        <w:tc>
          <w:tcPr>
            <w:tcW w:w="1585" w:type="dxa"/>
          </w:tcPr>
          <w:p>
            <w:pPr>
              <w:rPr>
                <w:rFonts w:hint="eastAsi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default" w:eastAsia="宋体"/>
                <w:b/>
                <w:szCs w:val="21"/>
                <w:lang w:val="en-US" w:eastAsia="zh-CN"/>
              </w:rPr>
            </w:pPr>
            <w:bookmarkStart w:id="0" w:name="_GoBack" w:colFirst="0" w:colLast="2"/>
            <w:r>
              <w:rPr>
                <w:rFonts w:hint="eastAsia" w:ascii="宋体" w:hAnsi="宋体" w:cs="宋体"/>
                <w:szCs w:val="21"/>
                <w:lang w:val="en-US" w:eastAsia="zh-CN"/>
              </w:rPr>
              <w:t>应急响应和准备</w:t>
            </w:r>
          </w:p>
        </w:tc>
        <w:tc>
          <w:tcPr>
            <w:tcW w:w="1063" w:type="dxa"/>
          </w:tcPr>
          <w:p>
            <w:pPr>
              <w:spacing w:line="280" w:lineRule="exact"/>
              <w:rPr>
                <w:rFonts w:hint="eastAsia" w:eastAsia="宋体"/>
                <w:szCs w:val="21"/>
                <w:lang w:eastAsia="zh-CN"/>
              </w:rPr>
            </w:pPr>
            <w:r>
              <w:rPr>
                <w:rFonts w:hint="eastAsia"/>
                <w:szCs w:val="21"/>
              </w:rPr>
              <w:t>E</w:t>
            </w:r>
            <w:r>
              <w:rPr>
                <w:szCs w:val="21"/>
              </w:rPr>
              <w:t>O</w:t>
            </w:r>
            <w:r>
              <w:rPr>
                <w:rFonts w:hint="eastAsia"/>
                <w:szCs w:val="21"/>
              </w:rPr>
              <w:t>8.</w:t>
            </w:r>
            <w:r>
              <w:rPr>
                <w:rFonts w:hint="eastAsia"/>
                <w:szCs w:val="21"/>
                <w:lang w:val="en-US" w:eastAsia="zh-CN"/>
              </w:rPr>
              <w:t>2</w:t>
            </w:r>
          </w:p>
        </w:tc>
        <w:tc>
          <w:tcPr>
            <w:tcW w:w="9939" w:type="dxa"/>
            <w:vAlign w:val="center"/>
          </w:tcPr>
          <w:p>
            <w:pPr>
              <w:pStyle w:val="19"/>
              <w:spacing w:line="280" w:lineRule="exact"/>
              <w:rPr>
                <w:sz w:val="21"/>
                <w:szCs w:val="21"/>
                <w:highlight w:val="none"/>
              </w:rPr>
            </w:pPr>
            <w:r>
              <w:rPr>
                <w:rFonts w:hint="eastAsia" w:ascii="宋体" w:hAnsi="宋体"/>
                <w:sz w:val="21"/>
                <w:szCs w:val="21"/>
                <w:highlight w:val="none"/>
              </w:rPr>
              <w:t>编制了《应急准备和响应管理程序》</w:t>
            </w:r>
            <w:r>
              <w:rPr>
                <w:rFonts w:hint="eastAsia"/>
                <w:sz w:val="21"/>
                <w:szCs w:val="21"/>
                <w:highlight w:val="none"/>
              </w:rPr>
              <w:t>，查看内容基本符合要求。</w:t>
            </w:r>
          </w:p>
          <w:p>
            <w:pPr>
              <w:pStyle w:val="19"/>
              <w:spacing w:line="280" w:lineRule="exact"/>
              <w:ind w:firstLineChars="0"/>
              <w:rPr>
                <w:sz w:val="21"/>
                <w:szCs w:val="21"/>
                <w:highlight w:val="none"/>
              </w:rPr>
            </w:pPr>
            <w:r>
              <w:rPr>
                <w:rFonts w:hint="eastAsia"/>
                <w:sz w:val="21"/>
                <w:szCs w:val="21"/>
                <w:highlight w:val="none"/>
              </w:rPr>
              <w:t>策划了应急预案包括触电、火灾</w:t>
            </w:r>
            <w:r>
              <w:rPr>
                <w:rFonts w:hint="eastAsia"/>
                <w:sz w:val="21"/>
                <w:szCs w:val="21"/>
                <w:highlight w:val="none"/>
                <w:lang w:eastAsia="zh-CN"/>
              </w:rPr>
              <w:t>、</w:t>
            </w:r>
            <w:r>
              <w:rPr>
                <w:rFonts w:hint="eastAsia"/>
                <w:sz w:val="21"/>
                <w:szCs w:val="21"/>
                <w:highlight w:val="none"/>
                <w:lang w:val="en-US" w:eastAsia="zh-CN"/>
              </w:rPr>
              <w:t>爆炸、关键设备停机</w:t>
            </w:r>
            <w:r>
              <w:rPr>
                <w:rFonts w:hint="eastAsia"/>
                <w:sz w:val="21"/>
                <w:szCs w:val="21"/>
                <w:highlight w:val="none"/>
              </w:rPr>
              <w:t>等应急预案。</w:t>
            </w:r>
          </w:p>
          <w:p>
            <w:pPr>
              <w:pStyle w:val="19"/>
              <w:spacing w:line="280" w:lineRule="exact"/>
              <w:ind w:firstLineChars="0"/>
              <w:rPr>
                <w:sz w:val="21"/>
                <w:szCs w:val="21"/>
                <w:highlight w:val="none"/>
              </w:rPr>
            </w:pPr>
            <w:r>
              <w:rPr>
                <w:rFonts w:hint="eastAsia"/>
                <w:sz w:val="21"/>
                <w:szCs w:val="21"/>
                <w:highlight w:val="none"/>
              </w:rPr>
              <w:t>查应急预案评估报告，通过以上评估，公司应急预案的制定基本合理。</w:t>
            </w:r>
          </w:p>
          <w:p>
            <w:pPr>
              <w:pStyle w:val="19"/>
              <w:spacing w:line="280" w:lineRule="exact"/>
              <w:ind w:firstLineChars="0"/>
              <w:rPr>
                <w:sz w:val="21"/>
                <w:szCs w:val="21"/>
                <w:highlight w:val="none"/>
              </w:rPr>
            </w:pPr>
            <w:r>
              <w:rPr>
                <w:rFonts w:hint="eastAsia"/>
                <w:sz w:val="21"/>
                <w:szCs w:val="21"/>
                <w:highlight w:val="none"/>
              </w:rPr>
              <w:t>公司进行了消防灭火演练，查应急演练记录。</w:t>
            </w:r>
          </w:p>
          <w:p>
            <w:pPr>
              <w:spacing w:line="280" w:lineRule="exact"/>
              <w:ind w:firstLine="420" w:firstLineChars="200"/>
              <w:rPr>
                <w:rFonts w:hint="eastAsia" w:ascii="宋体" w:hAnsi="宋体" w:cs="宋体"/>
                <w:szCs w:val="21"/>
              </w:rPr>
            </w:pPr>
            <w:r>
              <w:rPr>
                <w:rFonts w:hint="default" w:ascii="Times New Roman" w:hAnsi="Times New Roman" w:cs="Times New Roman"/>
                <w:sz w:val="21"/>
                <w:szCs w:val="21"/>
                <w:highlight w:val="none"/>
              </w:rPr>
              <w:t>查</w:t>
            </w:r>
            <w:r>
              <w:rPr>
                <w:rFonts w:hint="default" w:ascii="Times New Roman" w:hAnsi="Times New Roman" w:cs="Times New Roman"/>
                <w:sz w:val="21"/>
                <w:szCs w:val="21"/>
                <w:highlight w:val="none"/>
                <w:lang w:val="en-US" w:eastAsia="zh-CN"/>
              </w:rPr>
              <w:t>触电演习，演练时间202</w:t>
            </w:r>
            <w:r>
              <w:rPr>
                <w:rFonts w:hint="eastAsia" w:cs="Times New Roman"/>
                <w:sz w:val="21"/>
                <w:szCs w:val="21"/>
                <w:highlight w:val="none"/>
                <w:lang w:val="en-US" w:eastAsia="zh-CN"/>
              </w:rPr>
              <w:t>2</w:t>
            </w:r>
            <w:r>
              <w:rPr>
                <w:rFonts w:hint="default" w:ascii="Times New Roman" w:hAnsi="Times New Roman" w:cs="Times New Roman"/>
                <w:sz w:val="21"/>
                <w:szCs w:val="21"/>
                <w:highlight w:val="none"/>
                <w:lang w:val="en-US" w:eastAsia="zh-CN"/>
              </w:rPr>
              <w:t>.</w:t>
            </w:r>
            <w:r>
              <w:rPr>
                <w:rFonts w:hint="eastAsia" w:cs="Times New Roman"/>
                <w:sz w:val="21"/>
                <w:szCs w:val="21"/>
                <w:highlight w:val="none"/>
                <w:lang w:val="en-US" w:eastAsia="zh-CN"/>
              </w:rPr>
              <w:t>3</w:t>
            </w:r>
            <w:r>
              <w:rPr>
                <w:rFonts w:hint="default"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16</w:t>
            </w:r>
            <w:r>
              <w:rPr>
                <w:rFonts w:hint="default" w:ascii="Times New Roman" w:hAnsi="Times New Roman" w:cs="Times New Roman"/>
                <w:sz w:val="21"/>
                <w:szCs w:val="21"/>
                <w:highlight w:val="none"/>
                <w:lang w:val="en-US" w:eastAsia="zh-CN"/>
              </w:rPr>
              <w:t>，地点生产车间，参加演习人员：</w:t>
            </w:r>
            <w:r>
              <w:rPr>
                <w:rFonts w:hint="eastAsia" w:ascii="宋体" w:hAnsi="宋体" w:cs="Tahoma"/>
                <w:sz w:val="24"/>
              </w:rPr>
              <w:t>生产部、办公室、供销部、</w:t>
            </w:r>
            <w:r>
              <w:rPr>
                <w:rFonts w:hint="eastAsia" w:ascii="宋体" w:hAnsi="宋体" w:cs="Tahoma"/>
                <w:sz w:val="24"/>
                <w:lang w:val="en-US" w:eastAsia="zh-CN"/>
              </w:rPr>
              <w:t>品控部</w:t>
            </w:r>
            <w:r>
              <w:rPr>
                <w:rFonts w:hint="default" w:ascii="Times New Roman" w:hAnsi="Times New Roman" w:cs="Times New Roman"/>
                <w:sz w:val="21"/>
                <w:szCs w:val="21"/>
                <w:highlight w:val="none"/>
                <w:lang w:val="en-US" w:eastAsia="zh-CN"/>
              </w:rPr>
              <w:t>，对演练过程进行描述；查</w:t>
            </w:r>
            <w:r>
              <w:rPr>
                <w:rFonts w:hint="default" w:ascii="Times New Roman" w:hAnsi="Times New Roman" w:cs="Times New Roman"/>
                <w:sz w:val="21"/>
                <w:szCs w:val="21"/>
                <w:highlight w:val="none"/>
              </w:rPr>
              <w:t>消防灭火演练，演练时间</w:t>
            </w:r>
            <w:r>
              <w:rPr>
                <w:rFonts w:hint="default" w:ascii="Times New Roman" w:hAnsi="Times New Roman" w:cs="Times New Roman"/>
                <w:sz w:val="21"/>
                <w:szCs w:val="21"/>
                <w:highlight w:val="none"/>
                <w:lang w:val="en-US" w:eastAsia="zh-CN"/>
              </w:rPr>
              <w:t>202</w:t>
            </w:r>
            <w:r>
              <w:rPr>
                <w:rFonts w:hint="eastAsia" w:cs="Times New Roman"/>
                <w:sz w:val="21"/>
                <w:szCs w:val="21"/>
                <w:highlight w:val="none"/>
                <w:lang w:val="en-US" w:eastAsia="zh-CN"/>
              </w:rPr>
              <w:t>2</w:t>
            </w:r>
            <w:r>
              <w:rPr>
                <w:rFonts w:hint="default" w:ascii="Times New Roman" w:hAnsi="Times New Roman" w:cs="Times New Roman"/>
                <w:sz w:val="21"/>
                <w:szCs w:val="21"/>
                <w:highlight w:val="none"/>
                <w:lang w:val="en-US" w:eastAsia="zh-CN"/>
              </w:rPr>
              <w:t>.</w:t>
            </w:r>
            <w:r>
              <w:rPr>
                <w:rFonts w:hint="eastAsia" w:cs="Times New Roman"/>
                <w:sz w:val="21"/>
                <w:szCs w:val="21"/>
                <w:highlight w:val="none"/>
                <w:lang w:val="en-US" w:eastAsia="zh-CN"/>
              </w:rPr>
              <w:t>6</w:t>
            </w:r>
            <w:r>
              <w:rPr>
                <w:rFonts w:hint="default" w:ascii="Times New Roman" w:hAnsi="Times New Roman" w:cs="Times New Roman"/>
                <w:sz w:val="21"/>
                <w:szCs w:val="21"/>
                <w:highlight w:val="none"/>
                <w:lang w:val="en-US" w:eastAsia="zh-CN"/>
              </w:rPr>
              <w:t>.</w:t>
            </w:r>
            <w:r>
              <w:rPr>
                <w:rFonts w:hint="eastAsia" w:cs="Times New Roman"/>
                <w:sz w:val="21"/>
                <w:szCs w:val="21"/>
                <w:highlight w:val="none"/>
                <w:lang w:val="en-US" w:eastAsia="zh-CN"/>
              </w:rPr>
              <w:t>2</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，地点</w:t>
            </w:r>
            <w:r>
              <w:rPr>
                <w:rFonts w:hint="default" w:ascii="Times New Roman" w:hAnsi="Times New Roman" w:cs="Times New Roman"/>
                <w:sz w:val="21"/>
                <w:szCs w:val="21"/>
                <w:highlight w:val="none"/>
                <w:lang w:val="en-US" w:eastAsia="zh-CN"/>
              </w:rPr>
              <w:t>生产车间</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参加演习人员：</w:t>
            </w:r>
            <w:r>
              <w:rPr>
                <w:rFonts w:hint="eastAsia" w:ascii="宋体" w:hAnsi="宋体" w:cs="Tahoma"/>
                <w:sz w:val="24"/>
              </w:rPr>
              <w:t>生产部、办公室、供销部、</w:t>
            </w:r>
            <w:r>
              <w:rPr>
                <w:rFonts w:hint="eastAsia" w:ascii="宋体" w:hAnsi="宋体" w:cs="Tahoma"/>
                <w:sz w:val="24"/>
                <w:lang w:val="en-US" w:eastAsia="zh-CN"/>
              </w:rPr>
              <w:t>品控部</w:t>
            </w:r>
            <w:r>
              <w:rPr>
                <w:rFonts w:hint="default" w:ascii="Times New Roman" w:hAnsi="Times New Roman" w:cs="Times New Roman"/>
                <w:sz w:val="21"/>
                <w:szCs w:val="21"/>
                <w:highlight w:val="none"/>
              </w:rPr>
              <w:t>对演练过程进行了描述，并对预案的有效性进行了评价。目前未发生火灾、人身伤害等事故。</w:t>
            </w:r>
          </w:p>
        </w:tc>
        <w:tc>
          <w:tcPr>
            <w:tcW w:w="1585" w:type="dxa"/>
          </w:tcPr>
          <w:p>
            <w:pPr>
              <w:rPr>
                <w:rFonts w:hint="eastAsia" w:eastAsia="宋体"/>
                <w:lang w:val="en-US" w:eastAsia="zh-CN"/>
              </w:rPr>
            </w:pPr>
            <w:r>
              <w:rPr>
                <w:rFonts w:hint="eastAsia"/>
                <w:lang w:val="en-US" w:eastAsia="zh-CN"/>
              </w:rPr>
              <w:t>Y</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hint="eastAsia" w:ascii="宋体" w:hAnsi="宋体" w:cs="宋体"/>
                <w:szCs w:val="21"/>
                <w:lang w:val="en-US" w:eastAsia="zh-CN"/>
              </w:rPr>
            </w:pPr>
            <w:r>
              <w:rPr>
                <w:rFonts w:hint="eastAsia" w:ascii="宋体" w:hAnsi="宋体" w:cs="宋体"/>
                <w:color w:val="000000"/>
                <w:kern w:val="0"/>
                <w:szCs w:val="21"/>
              </w:rPr>
              <w:t>内部审核</w:t>
            </w:r>
          </w:p>
        </w:tc>
        <w:tc>
          <w:tcPr>
            <w:tcW w:w="1063" w:type="dxa"/>
            <w:vAlign w:val="top"/>
          </w:tcPr>
          <w:p>
            <w:pPr>
              <w:spacing w:line="280" w:lineRule="exact"/>
              <w:rPr>
                <w:rFonts w:hint="eastAsia"/>
                <w:szCs w:val="21"/>
              </w:rPr>
            </w:pPr>
            <w:r>
              <w:rPr>
                <w:rFonts w:hint="eastAsia"/>
                <w:szCs w:val="21"/>
              </w:rPr>
              <w:t>QE</w:t>
            </w:r>
            <w:r>
              <w:rPr>
                <w:szCs w:val="21"/>
              </w:rPr>
              <w:t>O</w:t>
            </w:r>
            <w:r>
              <w:rPr>
                <w:rFonts w:hint="eastAsia"/>
                <w:szCs w:val="21"/>
              </w:rPr>
              <w:t>9.</w:t>
            </w:r>
            <w:r>
              <w:rPr>
                <w:szCs w:val="21"/>
              </w:rPr>
              <w:t>2</w:t>
            </w:r>
          </w:p>
        </w:tc>
        <w:tc>
          <w:tcPr>
            <w:tcW w:w="9939"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GB/T19001-2016</w:t>
            </w:r>
            <w:r>
              <w:rPr>
                <w:rFonts w:hint="eastAsia"/>
                <w:szCs w:val="21"/>
              </w:rPr>
              <w:t>、</w:t>
            </w:r>
            <w:r>
              <w:rPr>
                <w:rFonts w:hint="eastAsia"/>
                <w:szCs w:val="21"/>
                <w:lang w:val="en-US" w:eastAsia="zh-CN"/>
              </w:rPr>
              <w:t>GB/T2</w:t>
            </w:r>
            <w:r>
              <w:rPr>
                <w:rFonts w:hint="eastAsia"/>
                <w:szCs w:val="21"/>
              </w:rPr>
              <w:t>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w:t>
            </w:r>
            <w:r>
              <w:rPr>
                <w:rFonts w:hint="eastAsia"/>
                <w:szCs w:val="21"/>
                <w:lang w:val="en-US" w:eastAsia="zh-CN"/>
              </w:rPr>
              <w:t>2</w:t>
            </w:r>
            <w:r>
              <w:rPr>
                <w:rFonts w:hint="eastAsia"/>
                <w:szCs w:val="21"/>
              </w:rPr>
              <w:t>年度《内部审核计划》，内审安排1次。明确审核目的、范围、依据、日期（20</w:t>
            </w:r>
            <w:r>
              <w:rPr>
                <w:szCs w:val="21"/>
              </w:rPr>
              <w:t>2</w:t>
            </w:r>
            <w:r>
              <w:rPr>
                <w:rFonts w:hint="eastAsia"/>
                <w:szCs w:val="21"/>
                <w:lang w:val="en-US" w:eastAsia="zh-CN"/>
              </w:rPr>
              <w:t>2</w:t>
            </w:r>
            <w:r>
              <w:rPr>
                <w:rFonts w:hint="eastAsia"/>
                <w:szCs w:val="21"/>
              </w:rPr>
              <w:t>.</w:t>
            </w:r>
            <w:r>
              <w:rPr>
                <w:rFonts w:hint="eastAsia"/>
                <w:szCs w:val="21"/>
                <w:lang w:val="en-US" w:eastAsia="zh-CN"/>
              </w:rPr>
              <w:t>3.28</w:t>
            </w:r>
            <w:r>
              <w:rPr>
                <w:rFonts w:hint="eastAsia"/>
                <w:szCs w:val="21"/>
              </w:rPr>
              <w:t>），组长：</w:t>
            </w:r>
            <w:r>
              <w:rPr>
                <w:rFonts w:hint="eastAsia"/>
                <w:szCs w:val="21"/>
                <w:lang w:val="en-US" w:eastAsia="zh-CN"/>
              </w:rPr>
              <w:t>杨知亮</w:t>
            </w:r>
            <w:r>
              <w:rPr>
                <w:rFonts w:hint="eastAsia"/>
                <w:szCs w:val="21"/>
              </w:rPr>
              <w:t>，组员：</w:t>
            </w:r>
            <w:r>
              <w:rPr>
                <w:rFonts w:hint="eastAsia"/>
                <w:szCs w:val="21"/>
                <w:lang w:val="en-US" w:eastAsia="zh-CN"/>
              </w:rPr>
              <w:t>曹玉婷</w:t>
            </w:r>
            <w:r>
              <w:rPr>
                <w:rFonts w:hint="eastAsia"/>
                <w:szCs w:val="21"/>
              </w:rPr>
              <w:t>，有培训记录和总经理的任命书；编制：</w:t>
            </w:r>
            <w:r>
              <w:rPr>
                <w:rFonts w:hint="eastAsia"/>
                <w:szCs w:val="21"/>
                <w:lang w:val="en-US" w:eastAsia="zh-CN"/>
              </w:rPr>
              <w:t>曹玉婷</w:t>
            </w:r>
            <w:r>
              <w:rPr>
                <w:rFonts w:hint="eastAsia"/>
                <w:szCs w:val="21"/>
              </w:rPr>
              <w:t>，审批：</w:t>
            </w:r>
            <w:r>
              <w:rPr>
                <w:rFonts w:hint="eastAsia"/>
                <w:szCs w:val="21"/>
                <w:lang w:val="en-US" w:eastAsia="zh-CN"/>
              </w:rPr>
              <w:t>张金方</w:t>
            </w:r>
            <w:r>
              <w:rPr>
                <w:rFonts w:hint="eastAsia"/>
                <w:szCs w:val="21"/>
              </w:rPr>
              <w:t>，日期：</w:t>
            </w:r>
            <w:r>
              <w:rPr>
                <w:szCs w:val="21"/>
              </w:rPr>
              <w:t>202</w:t>
            </w:r>
            <w:r>
              <w:rPr>
                <w:rFonts w:hint="eastAsia"/>
                <w:szCs w:val="21"/>
                <w:lang w:val="en-US" w:eastAsia="zh-CN"/>
              </w:rPr>
              <w:t>1</w:t>
            </w:r>
            <w:r>
              <w:rPr>
                <w:rFonts w:hint="eastAsia"/>
                <w:szCs w:val="21"/>
              </w:rPr>
              <w:t>.</w:t>
            </w:r>
            <w:r>
              <w:rPr>
                <w:rFonts w:hint="eastAsia"/>
                <w:szCs w:val="21"/>
                <w:lang w:val="en-US" w:eastAsia="zh-CN"/>
              </w:rPr>
              <w:t>3</w:t>
            </w:r>
            <w:r>
              <w:rPr>
                <w:szCs w:val="21"/>
              </w:rPr>
              <w:t>.1</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w:t>
            </w:r>
            <w:r>
              <w:rPr>
                <w:szCs w:val="21"/>
              </w:rPr>
              <w:t>2</w:t>
            </w:r>
            <w:r>
              <w:rPr>
                <w:rFonts w:hint="eastAsia"/>
                <w:szCs w:val="21"/>
                <w:lang w:val="en-US" w:eastAsia="zh-CN"/>
              </w:rPr>
              <w:t>2</w:t>
            </w:r>
            <w:r>
              <w:rPr>
                <w:rFonts w:hint="eastAsia"/>
                <w:szCs w:val="21"/>
              </w:rPr>
              <w:t>.</w:t>
            </w:r>
            <w:r>
              <w:rPr>
                <w:rFonts w:hint="eastAsia"/>
                <w:szCs w:val="21"/>
                <w:lang w:val="en-US" w:eastAsia="zh-CN"/>
              </w:rPr>
              <w:t>3</w:t>
            </w:r>
            <w:r>
              <w:rPr>
                <w:szCs w:val="21"/>
              </w:rPr>
              <w:t>.</w:t>
            </w:r>
            <w:r>
              <w:rPr>
                <w:rFonts w:hint="eastAsia"/>
                <w:szCs w:val="21"/>
                <w:lang w:val="en-US" w:eastAsia="zh-CN"/>
              </w:rPr>
              <w:t>28</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办公室</w:t>
            </w:r>
            <w:r>
              <w:rPr>
                <w:rFonts w:hint="eastAsia"/>
                <w:szCs w:val="21"/>
              </w:rPr>
              <w:t>、供销部、生产部、</w:t>
            </w:r>
            <w:r>
              <w:rPr>
                <w:rFonts w:hint="eastAsia"/>
                <w:szCs w:val="21"/>
                <w:lang w:val="en-US" w:eastAsia="zh-CN"/>
              </w:rPr>
              <w:t>品控</w:t>
            </w:r>
            <w:r>
              <w:rPr>
                <w:rFonts w:hint="eastAsia"/>
                <w:szCs w:val="21"/>
              </w:rPr>
              <w:t>部等部门的审核记录，条款与策划一致，记录真实、完整。包括QEO体系所有条款，没有遗漏。</w:t>
            </w:r>
          </w:p>
          <w:p>
            <w:pPr>
              <w:spacing w:line="280" w:lineRule="exact"/>
              <w:ind w:firstLine="420" w:firstLineChars="200"/>
              <w:rPr>
                <w:rFonts w:hint="default" w:ascii="Times New Roman" w:hAnsi="Times New Roman" w:cs="Times New Roman"/>
                <w:sz w:val="21"/>
                <w:szCs w:val="21"/>
                <w:highlight w:val="none"/>
              </w:rPr>
            </w:pPr>
            <w:r>
              <w:rPr>
                <w:rFonts w:hint="eastAsia"/>
                <w:szCs w:val="21"/>
              </w:rPr>
              <w:t>查《不合格报告》本次发现不符合</w:t>
            </w:r>
            <w:r>
              <w:rPr>
                <w:rFonts w:hint="eastAsia"/>
                <w:szCs w:val="21"/>
                <w:lang w:val="en-US" w:eastAsia="zh-CN"/>
              </w:rPr>
              <w:t>1</w:t>
            </w:r>
            <w:r>
              <w:rPr>
                <w:rFonts w:hint="eastAsia"/>
                <w:szCs w:val="21"/>
              </w:rPr>
              <w:t>个，为一般不符合，分别为O</w:t>
            </w:r>
            <w:r>
              <w:rPr>
                <w:szCs w:val="21"/>
              </w:rPr>
              <w:t>8.1</w:t>
            </w:r>
            <w:r>
              <w:rPr>
                <w:rFonts w:hint="eastAsia"/>
                <w:szCs w:val="21"/>
              </w:rPr>
              <w:t>。对于不符合项所采取的纠正等措施，内审员进行了验证。上述内容记录完整。提供《内部审核报告》，结论： 公司建立的质量/环境/职业健康安全管理体系基本符合</w:t>
            </w:r>
            <w:r>
              <w:rPr>
                <w:rFonts w:hint="eastAsia"/>
                <w:szCs w:val="21"/>
                <w:lang w:val="en-US" w:eastAsia="zh-CN"/>
              </w:rPr>
              <w:t>GB/T19001-2016</w:t>
            </w:r>
            <w:r>
              <w:rPr>
                <w:rFonts w:hint="eastAsia"/>
                <w:szCs w:val="21"/>
              </w:rPr>
              <w:t>、</w:t>
            </w:r>
            <w:r>
              <w:rPr>
                <w:rFonts w:hint="eastAsia"/>
                <w:szCs w:val="21"/>
                <w:lang w:val="en-US" w:eastAsia="zh-CN"/>
              </w:rPr>
              <w:t>GB/T2</w:t>
            </w:r>
            <w:r>
              <w:rPr>
                <w:rFonts w:hint="eastAsia"/>
                <w:szCs w:val="21"/>
              </w:rPr>
              <w:t>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tc>
        <w:tc>
          <w:tcPr>
            <w:tcW w:w="1585" w:type="dxa"/>
            <w:vAlign w:val="top"/>
          </w:tcPr>
          <w:p>
            <w:pPr>
              <w:rPr>
                <w:rFonts w:hint="eastAsia"/>
                <w:lang w:val="en-US" w:eastAsia="zh-CN"/>
              </w:rPr>
            </w:pPr>
          </w:p>
        </w:tc>
      </w:tr>
    </w:tbl>
    <w:p>
      <w:r>
        <w:ptab w:relativeTo="margin" w:alignment="center" w:leader="none"/>
      </w:r>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2533F4"/>
    <w:rsid w:val="00287457"/>
    <w:rsid w:val="002B36EC"/>
    <w:rsid w:val="002C22A6"/>
    <w:rsid w:val="002E29A0"/>
    <w:rsid w:val="002E55EA"/>
    <w:rsid w:val="002F05BD"/>
    <w:rsid w:val="003015FB"/>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B5026"/>
    <w:rsid w:val="00FB6FAA"/>
    <w:rsid w:val="00FF0A51"/>
    <w:rsid w:val="00FF1D21"/>
    <w:rsid w:val="02542851"/>
    <w:rsid w:val="0265675F"/>
    <w:rsid w:val="03ED5FC4"/>
    <w:rsid w:val="0A755CD1"/>
    <w:rsid w:val="0B2632B4"/>
    <w:rsid w:val="0DF70856"/>
    <w:rsid w:val="103D0894"/>
    <w:rsid w:val="11B844E6"/>
    <w:rsid w:val="14065AE5"/>
    <w:rsid w:val="15246755"/>
    <w:rsid w:val="17375E62"/>
    <w:rsid w:val="17C075B6"/>
    <w:rsid w:val="18206F97"/>
    <w:rsid w:val="229819FB"/>
    <w:rsid w:val="23E3314D"/>
    <w:rsid w:val="25A6097A"/>
    <w:rsid w:val="28387AD8"/>
    <w:rsid w:val="28AE38CD"/>
    <w:rsid w:val="2A3124B1"/>
    <w:rsid w:val="2AF537B1"/>
    <w:rsid w:val="2E5A2E13"/>
    <w:rsid w:val="345E41AB"/>
    <w:rsid w:val="3A485518"/>
    <w:rsid w:val="3E806258"/>
    <w:rsid w:val="418646AB"/>
    <w:rsid w:val="47972C90"/>
    <w:rsid w:val="4DED56EF"/>
    <w:rsid w:val="574A1019"/>
    <w:rsid w:val="585F7767"/>
    <w:rsid w:val="58A7490A"/>
    <w:rsid w:val="5D41727B"/>
    <w:rsid w:val="619B3616"/>
    <w:rsid w:val="69122561"/>
    <w:rsid w:val="6B95688A"/>
    <w:rsid w:val="747D06DB"/>
    <w:rsid w:val="7CD87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0"/>
    <w:pPr>
      <w:widowControl/>
      <w:spacing w:before="50" w:line="360" w:lineRule="auto"/>
      <w:ind w:firstLine="567"/>
      <w:jc w:val="left"/>
    </w:pPr>
    <w:rPr>
      <w:sz w:val="28"/>
      <w:szCs w:val="20"/>
    </w:rPr>
  </w:style>
  <w:style w:type="paragraph" w:styleId="4">
    <w:name w:val="Body Text"/>
    <w:basedOn w:val="1"/>
    <w:next w:val="5"/>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Indent"/>
    <w:basedOn w:val="1"/>
    <w:qFormat/>
    <w:uiPriority w:val="0"/>
    <w:pPr>
      <w:ind w:left="420" w:firstLine="744"/>
    </w:pPr>
    <w:rPr>
      <w:rFonts w:ascii="宋体" w:hAnsi="宋体"/>
      <w:szCs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unhideWhenUsed/>
    <w:qFormat/>
    <w:uiPriority w:val="99"/>
    <w:pPr>
      <w:tabs>
        <w:tab w:val="left" w:pos="540"/>
      </w:tabs>
      <w:ind w:firstLine="420" w:firstLineChars="200"/>
    </w:pPr>
  </w:style>
  <w:style w:type="character" w:styleId="13">
    <w:name w:val="Hyperlink"/>
    <w:uiPriority w:val="99"/>
    <w:rPr>
      <w:color w:val="0000FF"/>
      <w:u w:val="single"/>
    </w:rPr>
  </w:style>
  <w:style w:type="character" w:customStyle="1" w:styleId="14">
    <w:name w:val="页眉 字符"/>
    <w:basedOn w:val="12"/>
    <w:link w:val="9"/>
    <w:qFormat/>
    <w:uiPriority w:val="99"/>
    <w:rPr>
      <w:rFonts w:ascii="Times New Roman" w:hAnsi="Times New Roman" w:eastAsia="宋体" w:cs="Times New Roman"/>
      <w:sz w:val="18"/>
      <w:szCs w:val="18"/>
    </w:rPr>
  </w:style>
  <w:style w:type="character" w:customStyle="1" w:styleId="15">
    <w:name w:val="页脚 字符"/>
    <w:basedOn w:val="12"/>
    <w:link w:val="8"/>
    <w:qFormat/>
    <w:uiPriority w:val="99"/>
    <w:rPr>
      <w:rFonts w:ascii="Times New Roman" w:hAnsi="Times New Roman" w:eastAsia="宋体" w:cs="Times New Roman"/>
      <w:sz w:val="18"/>
      <w:szCs w:val="18"/>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Char"/>
    <w:basedOn w:val="1"/>
    <w:qFormat/>
    <w:uiPriority w:val="0"/>
    <w:rPr>
      <w:rFonts w:ascii="仿宋_GB2312" w:eastAsia="仿宋_GB2312"/>
      <w:b/>
      <w:sz w:val="32"/>
      <w:szCs w:val="32"/>
    </w:rPr>
  </w:style>
  <w:style w:type="paragraph" w:customStyle="1" w:styleId="19">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7807</Words>
  <Characters>8476</Characters>
  <Lines>40</Lines>
  <Paragraphs>11</Paragraphs>
  <TotalTime>1</TotalTime>
  <ScaleCrop>false</ScaleCrop>
  <LinksUpToDate>false</LinksUpToDate>
  <CharactersWithSpaces>8520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春华秋实</cp:lastModifiedBy>
  <dcterms:modified xsi:type="dcterms:W3CDTF">2022-07-24T16:37:34Z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E6C705FD94004C5AA7E6FAAF88057BA1</vt:lpwstr>
  </property>
</Properties>
</file>