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杭州富阳诺德液压技术有限公司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</w:rPr>
              <w:t>李晓国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企业提供得《质量目标考核》仅考核到2021年12月份，未能对2022年度目标完成情况进行适时更新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2900045</wp:posOffset>
                  </wp:positionH>
                  <wp:positionV relativeFrom="paragraph">
                    <wp:posOffset>42545</wp:posOffset>
                  </wp:positionV>
                  <wp:extent cx="699135" cy="314325"/>
                  <wp:effectExtent l="0" t="0" r="12065" b="3175"/>
                  <wp:wrapNone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93345</wp:posOffset>
                  </wp:positionV>
                  <wp:extent cx="699135" cy="314325"/>
                  <wp:effectExtent l="0" t="0" r="12065" b="3175"/>
                  <wp:wrapNone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/>
                <w:b/>
                <w:sz w:val="20"/>
              </w:rPr>
              <w:t>2022年07月13日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/>
                <w:b/>
                <w:sz w:val="20"/>
              </w:rPr>
              <w:t>2022年07月13日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/>
                <w:b/>
                <w:sz w:val="20"/>
              </w:rPr>
              <w:t>2022年07月13日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3877310</wp:posOffset>
                  </wp:positionH>
                  <wp:positionV relativeFrom="paragraph">
                    <wp:posOffset>297815</wp:posOffset>
                  </wp:positionV>
                  <wp:extent cx="699135" cy="314325"/>
                  <wp:effectExtent l="0" t="0" r="12065" b="317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2022.7.24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90A5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2022-07-24T13:13:53Z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