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浙江杭泰安保服务有限公司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保安服务：签订保安服务合同评审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签订保安服务合同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提供保安方案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提供保安服务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保安部按照策划的流程提供《与顾客有关过程管理程序》、《相关方管理办法》、《处置突发事故应急预案》、保安服务管理制度、保安巡逻管理制度、行为规范管理制度、物业门卫管理制度、小区物业保安规章制度等十多份作用指导文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黑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保安服务管理条例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中华人民共和国治安管理处罚法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、突发公共卫生事件应急条例、企事业单位内部治安保卫条例、</w:t>
            </w:r>
            <w:r>
              <w:rPr>
                <w:rFonts w:hint="eastAsia" w:ascii="宋体" w:hAnsi="宋体" w:cs="宋体"/>
                <w:szCs w:val="21"/>
              </w:rPr>
              <w:t>杭州市物业管理条例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129540</wp:posOffset>
                  </wp:positionV>
                  <wp:extent cx="537210" cy="460375"/>
                  <wp:effectExtent l="0" t="0" r="8890" b="9525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137795</wp:posOffset>
                  </wp:positionV>
                  <wp:extent cx="699135" cy="314325"/>
                  <wp:effectExtent l="0" t="0" r="12065" b="3175"/>
                  <wp:wrapNone/>
                  <wp:docPr id="5" name="图片 5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浙江杭泰安保服务有限公司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保安服务：签订保安服务合同评审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签订保安服务合同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提供保安方案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提供保安服务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129540</wp:posOffset>
                  </wp:positionV>
                  <wp:extent cx="537210" cy="460375"/>
                  <wp:effectExtent l="0" t="0" r="8890" b="9525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137795</wp:posOffset>
                  </wp:positionV>
                  <wp:extent cx="699135" cy="314325"/>
                  <wp:effectExtent l="0" t="0" r="12065" b="3175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浙江杭泰安保服务有限公司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O：35.12.00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保安服务：签订保安服务合同评审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签订保安服务合同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提供保安方案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提供保安服务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重大危险源：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人身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伤害、触电、火灾；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职业病防治法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安全生产条例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129540</wp:posOffset>
                  </wp:positionV>
                  <wp:extent cx="537210" cy="460375"/>
                  <wp:effectExtent l="0" t="0" r="8890" b="9525"/>
                  <wp:wrapNone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4"/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137795</wp:posOffset>
                  </wp:positionV>
                  <wp:extent cx="699135" cy="314325"/>
                  <wp:effectExtent l="0" t="0" r="12065" b="3175"/>
                  <wp:wrapNone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C1D4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2022-07-26T09:11:44Z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