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石家庄华能神州化工建材有限公司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石家庄华能神州化工建材有限公司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河北省石家庄市桥西区胜利南街118号塔坛国际商贸城12时区1815室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河北省石家庄市桥西区胜利南街118号塔坛国际商贸城12时区1815室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刘凯伦</w:t>
            </w:r>
            <w:bookmarkEnd w:id="10"/>
          </w:p>
        </w:tc>
        <w:tc>
          <w:tcPr>
            <w:tcW w:w="1313" w:type="dxa"/>
            <w:vAlign w:val="center"/>
          </w:tcPr>
          <w:p>
            <w:r>
              <w:rPr>
                <w:rFonts w:hint="eastAsia"/>
              </w:rPr>
              <w:t>电话.</w:t>
            </w:r>
          </w:p>
        </w:tc>
        <w:tc>
          <w:tcPr>
            <w:tcW w:w="2180" w:type="dxa"/>
            <w:vAlign w:val="center"/>
          </w:tcPr>
          <w:p>
            <w:bookmarkStart w:id="11" w:name="联系人电话"/>
            <w:r>
              <w:t>15031157493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刘长兴</w:t>
            </w:r>
            <w:bookmarkEnd w:id="13"/>
          </w:p>
        </w:tc>
        <w:tc>
          <w:tcPr>
            <w:tcW w:w="1313" w:type="dxa"/>
            <w:vAlign w:val="center"/>
          </w:tcPr>
          <w:p>
            <w:r>
              <w:rPr>
                <w:rFonts w:hint="eastAsia"/>
              </w:rPr>
              <w:t>管理者代表</w:t>
            </w:r>
          </w:p>
        </w:tc>
        <w:tc>
          <w:tcPr>
            <w:tcW w:w="2180" w:type="dxa"/>
          </w:tcPr>
          <w:p>
            <w:bookmarkStart w:id="14" w:name="管理者代表"/>
            <w:r>
              <w:t>刘凯伦</w:t>
            </w:r>
            <w:bookmarkEnd w:id="14"/>
          </w:p>
        </w:tc>
        <w:tc>
          <w:tcPr>
            <w:tcW w:w="1242" w:type="dxa"/>
          </w:tcPr>
          <w:p>
            <w:r>
              <w:rPr>
                <w:rFonts w:hint="eastAsia"/>
              </w:rPr>
              <w:t>邮箱</w:t>
            </w:r>
          </w:p>
        </w:tc>
        <w:tc>
          <w:tcPr>
            <w:tcW w:w="1771" w:type="dxa"/>
          </w:tcPr>
          <w:p>
            <w:bookmarkStart w:id="15" w:name="联系人邮箱"/>
            <w:r>
              <w:rPr>
                <w:sz w:val="21"/>
                <w:szCs w:val="21"/>
              </w:rPr>
              <w:t>hnszhg@163.com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rPr>
                <w:rFonts w:hint="eastAsia"/>
              </w:rPr>
            </w:pPr>
          </w:p>
          <w:p>
            <w:pPr>
              <w:rPr>
                <w:rFonts w:hint="eastAsia"/>
              </w:rPr>
            </w:pPr>
          </w:p>
        </w:tc>
        <w:tc>
          <w:tcPr>
            <w:tcW w:w="8058" w:type="dxa"/>
            <w:gridSpan w:val="5"/>
            <w:shd w:val="clear" w:color="auto" w:fill="auto"/>
          </w:tcPr>
          <w:p>
            <w:pPr>
              <w:rPr>
                <w:rFonts w:hint="eastAsia"/>
              </w:rPr>
            </w:pPr>
            <w:r>
              <w:rPr>
                <w:rFonts w:hint="eastAsia"/>
              </w:rPr>
              <w:t>业务洽谈-合同评审-签订合同-产品采购-供方发货-客户验收-售后服务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6" w:name="审核日期"/>
            <w:r>
              <w:rPr>
                <w:rFonts w:hint="eastAsia"/>
              </w:rPr>
              <w:t>2022年07月02日 上午至2022年07月03日 上午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2" w:name="QJ勾选Add1"/>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eastAsia" w:ascii="Times New Roman" w:hAnsi="Times New Roman" w:eastAsia="宋体" w:cs="Times New Roman"/>
                <w:sz w:val="20"/>
              </w:rPr>
              <w:t>河北省石家庄市桥西区胜利南街118号塔坛国际商贸城12时区1815室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Q：脱硫增效剂、脱硫消泡剂、水处理药剂、保温材料的销售</w:t>
            </w:r>
          </w:p>
          <w:p>
            <w:r>
              <w:t>E：脱硫增效剂、脱硫消泡剂、水处理药剂、保温材料的销售所涉及场所的相关环境管理活动</w:t>
            </w:r>
          </w:p>
          <w:p>
            <w:r>
              <w:t>O：脱硫增效剂、脱硫消泡剂、水处理药剂、保温材料的销售所涉及场所的相关职业健康安全管理活动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Q：29.11.03;29.11.05</w:t>
            </w:r>
          </w:p>
          <w:p>
            <w:r>
              <w:t>E：29.11.03;29.11.05</w:t>
            </w:r>
          </w:p>
          <w:p>
            <w:r>
              <w:t>O：29.11.03;29.11.05B</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rFonts w:hint="eastAsia"/>
        </w:rPr>
      </w:pPr>
    </w:p>
    <w:p>
      <w:pPr>
        <w:rPr>
          <w:lang w:eastAsia="ja-JP"/>
        </w:rPr>
      </w:pPr>
      <w:r>
        <w:rPr>
          <w:rFonts w:hint="eastAsia"/>
        </w:rPr>
        <w:t>本次审核</w:t>
      </w:r>
      <w:r>
        <w:t>覆盖以下各场所/场地及其对应的范围:</w:t>
      </w:r>
    </w:p>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rPr>
            </w:pPr>
            <w:r>
              <w:rPr>
                <w:rFonts w:hint="eastAsia"/>
                <w:color w:val="000000"/>
              </w:rPr>
              <w:t>石家庄华能神州化工建材有限公司</w:t>
            </w:r>
          </w:p>
          <w:p>
            <w:pPr>
              <w:spacing w:before="40" w:after="40"/>
              <w:rPr>
                <w:rFonts w:eastAsia="黑体"/>
                <w:szCs w:val="21"/>
                <w:lang w:val="de-DE" w:eastAsia="ja-JP"/>
              </w:rPr>
            </w:pPr>
            <w:r>
              <w:rPr>
                <w:rFonts w:hint="eastAsia"/>
                <w:color w:val="000000"/>
              </w:rPr>
              <w:t>河北省石家庄市桥西区胜利南街118号塔坛国际商贸城12时区1815室</w:t>
            </w:r>
          </w:p>
        </w:tc>
        <w:tc>
          <w:tcPr>
            <w:tcW w:w="1489" w:type="dxa"/>
          </w:tcPr>
          <w:p>
            <w:pPr>
              <w:spacing w:before="40" w:after="40"/>
              <w:rPr>
                <w:rFonts w:eastAsia="黑体"/>
                <w:szCs w:val="21"/>
                <w:lang w:val="de-DE" w:eastAsia="ja-JP"/>
              </w:rPr>
            </w:pPr>
            <w:r>
              <w:rPr>
                <w:rFonts w:hint="eastAsia"/>
                <w:color w:val="000000"/>
              </w:rPr>
              <w:t>河北省石家庄市桥西区胜利南街118号塔坛国际商贸城12时区1815室</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430" w:type="dxa"/>
            <w:vAlign w:val="center"/>
          </w:tcPr>
          <w:p>
            <w:pPr>
              <w:rPr>
                <w:sz w:val="21"/>
                <w:szCs w:val="21"/>
              </w:rPr>
            </w:pPr>
            <w:r>
              <w:rPr>
                <w:sz w:val="21"/>
                <w:szCs w:val="21"/>
              </w:rPr>
              <w:t>Q：脱硫增效剂、脱硫消泡剂、水处理药剂、保温材料的销售</w:t>
            </w:r>
          </w:p>
          <w:p>
            <w:pPr>
              <w:rPr>
                <w:sz w:val="21"/>
                <w:szCs w:val="21"/>
              </w:rPr>
            </w:pPr>
            <w:r>
              <w:rPr>
                <w:sz w:val="21"/>
                <w:szCs w:val="21"/>
              </w:rPr>
              <w:t>E：脱硫增效剂、脱硫消泡剂、水处理药剂、保温材料的销售所涉及场所的相关环境管理活动</w:t>
            </w:r>
          </w:p>
          <w:p>
            <w:pPr>
              <w:pStyle w:val="21"/>
              <w:rPr>
                <w:rFonts w:eastAsia="黑体" w:cs="Arial"/>
                <w:sz w:val="21"/>
                <w:szCs w:val="21"/>
                <w:lang w:val="en-US" w:eastAsia="ja-JP"/>
              </w:rPr>
            </w:pPr>
            <w:r>
              <w:rPr>
                <w:sz w:val="21"/>
                <w:szCs w:val="21"/>
              </w:rPr>
              <w:t>O：脱硫增效剂、脱硫消泡剂、水处理药剂、保温材料的销售所涉及场所的相关职业健康安全管理活动</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Pr>
        <w:pStyle w:val="2"/>
      </w:pPr>
    </w:p>
    <w:p>
      <w:pPr>
        <w:pStyle w:val="2"/>
      </w:pPr>
    </w:p>
    <w:p>
      <w:pPr>
        <w:pStyle w:val="2"/>
      </w:pPr>
    </w:p>
    <w:p>
      <w:pPr>
        <w:pStyle w:val="2"/>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Q:29.11.03,29.11.05</w:t>
            </w:r>
          </w:p>
          <w:p>
            <w:r>
              <w:t>E:29.11.03</w:t>
            </w:r>
          </w:p>
          <w:p>
            <w:r>
              <w:t>O:29.11.03,29.11.05B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Q:29.11.03,29.11.05</w:t>
            </w:r>
          </w:p>
          <w:p>
            <w:r>
              <w:t>E:29.11.03,29.11.05</w:t>
            </w:r>
          </w:p>
          <w:p>
            <w:r>
              <w:t>O:29.11.03,29.11.05B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3"/>
      </w:pPr>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pStyle w:val="2"/>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r>
              <w:rPr>
                <w:rFonts w:hint="eastAsia"/>
                <w:lang w:val="en-US" w:eastAsia="zh-CN"/>
              </w:rPr>
              <w:t>/</w:t>
            </w:r>
          </w:p>
        </w:tc>
        <w:tc>
          <w:tcPr>
            <w:tcW w:w="1717" w:type="dxa"/>
            <w:vAlign w:val="top"/>
          </w:tcPr>
          <w:p>
            <w:pPr>
              <w:jc w:val="both"/>
            </w:pPr>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26670</wp:posOffset>
                  </wp:positionV>
                  <wp:extent cx="506730" cy="335280"/>
                  <wp:effectExtent l="0" t="0" r="7620" b="7620"/>
                  <wp:wrapSquare wrapText="bothSides"/>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506730" cy="335280"/>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2022.7.4</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最高管理者制定了文件化的管理体系方针：</w:t>
            </w:r>
          </w:p>
          <w:p>
            <w:pPr>
              <w:shd w:val="clear" w:color="auto" w:fill="C7DAF1" w:themeFill="text2" w:themeFillTint="32"/>
              <w:rPr>
                <w:rFonts w:hint="eastAsia"/>
              </w:rPr>
            </w:pPr>
            <w:r>
              <w:rPr>
                <w:rFonts w:hint="eastAsia" w:ascii="Times New Roman" w:hAnsi="Times New Roman" w:eastAsia="宋体" w:cs="Times New Roman"/>
                <w:lang w:eastAsia="zh-CN"/>
              </w:rPr>
              <w:t>质量方针：</w:t>
            </w:r>
            <w:r>
              <w:rPr>
                <w:rFonts w:hint="eastAsia" w:ascii="Times New Roman" w:hAnsi="Times New Roman" w:eastAsia="宋体" w:cs="Times New Roman"/>
              </w:rPr>
              <w:t>顾客满意、质量</w:t>
            </w:r>
            <w:r>
              <w:rPr>
                <w:rFonts w:hint="eastAsia" w:ascii="Times New Roman" w:hAnsi="Times New Roman" w:eastAsia="宋体" w:cs="Times New Roman"/>
                <w:lang w:val="en-US" w:eastAsia="zh-CN"/>
              </w:rPr>
              <w:t>优先</w:t>
            </w:r>
            <w:r>
              <w:rPr>
                <w:rFonts w:hint="eastAsia" w:ascii="Times New Roman" w:hAnsi="Times New Roman" w:eastAsia="宋体" w:cs="Times New Roman"/>
              </w:rPr>
              <w:t>、服务一流、</w:t>
            </w:r>
            <w:r>
              <w:rPr>
                <w:rFonts w:hint="eastAsia" w:ascii="Times New Roman" w:hAnsi="Times New Roman" w:eastAsia="宋体" w:cs="Times New Roman"/>
                <w:lang w:val="en-US" w:eastAsia="zh-CN"/>
              </w:rPr>
              <w:t>持续改进</w:t>
            </w:r>
            <w:r>
              <w:rPr>
                <w:rFonts w:hint="eastAsia" w:ascii="Times New Roman" w:hAnsi="Times New Roman" w:eastAsia="宋体" w:cs="Times New Roma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sz w:val="18"/>
                      <w:szCs w:val="18"/>
                    </w:rPr>
                  </w:pPr>
                  <w:r>
                    <w:rPr>
                      <w:rFonts w:hint="eastAsia"/>
                      <w:sz w:val="18"/>
                      <w:szCs w:val="18"/>
                    </w:rPr>
                    <w:t>风险：客户对产品质量标准提高，材料要求环保材料，以及对供应周期和售后服务的期望值提升，给公司采购、销售和售后管理提出新的要求</w:t>
                  </w:r>
                </w:p>
                <w:p>
                  <w:pPr>
                    <w:shd w:val="clear" w:color="auto" w:fill="C7DAF1" w:themeFill="text2" w:themeFillTint="32"/>
                  </w:pPr>
                  <w:r>
                    <w:rPr>
                      <w:rFonts w:hint="eastAsia"/>
                      <w:sz w:val="18"/>
                      <w:szCs w:val="18"/>
                    </w:rPr>
                    <w:t>机遇：市场竞争的加剧，公司管理水平的提升，会给公司带来潜在的发展机遇</w:t>
                  </w:r>
                </w:p>
              </w:tc>
              <w:tc>
                <w:tcPr>
                  <w:tcW w:w="3965"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1.加强与客户进行质量标准制定的沟通，统一双方的标准和检测方法</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2.销售部选择合格供方，采购环保达标的产品、确保采购符合顾客要求、法律法规环保要求，对供应周期提前策划，及时处理顾客的要求和意见；</w:t>
                  </w:r>
                </w:p>
              </w:tc>
              <w:tc>
                <w:tcPr>
                  <w:tcW w:w="1717" w:type="dxa"/>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sz w:val="18"/>
                      <w:szCs w:val="18"/>
                    </w:rPr>
                  </w:pPr>
                  <w:r>
                    <w:rPr>
                      <w:rFonts w:hint="eastAsia"/>
                      <w:sz w:val="18"/>
                      <w:szCs w:val="18"/>
                    </w:rPr>
                    <w:t>风险：所采购产品市场不稳定，希望签订的年度合同和保底价格，带来的采购和资金风险</w:t>
                  </w:r>
                </w:p>
                <w:p>
                  <w:pPr>
                    <w:shd w:val="clear" w:color="auto" w:fill="C7DAF1" w:themeFill="text2" w:themeFillTint="32"/>
                  </w:pPr>
                  <w:r>
                    <w:rPr>
                      <w:rFonts w:hint="eastAsia"/>
                      <w:sz w:val="18"/>
                      <w:szCs w:val="18"/>
                    </w:rPr>
                    <w:t>机遇：所采购产品可能会降价</w:t>
                  </w:r>
                </w:p>
              </w:tc>
              <w:tc>
                <w:tcPr>
                  <w:tcW w:w="3965" w:type="dxa"/>
                </w:tcPr>
                <w:p>
                  <w:pPr>
                    <w:jc w:val="left"/>
                    <w:rPr>
                      <w:rFonts w:hint="eastAsia"/>
                      <w:sz w:val="18"/>
                      <w:szCs w:val="18"/>
                    </w:rPr>
                  </w:pPr>
                  <w:r>
                    <w:rPr>
                      <w:rFonts w:hint="eastAsia"/>
                      <w:sz w:val="18"/>
                      <w:szCs w:val="18"/>
                    </w:rPr>
                    <w:t>对公司影响较大的大宗所采购产品做好年度采购计划</w:t>
                  </w:r>
                </w:p>
                <w:p>
                  <w:pPr>
                    <w:shd w:val="clear" w:color="auto" w:fill="C7DAF1" w:themeFill="text2" w:themeFillTint="32"/>
                  </w:pPr>
                  <w:r>
                    <w:rPr>
                      <w:rFonts w:hint="eastAsia"/>
                      <w:sz w:val="18"/>
                      <w:szCs w:val="18"/>
                    </w:rPr>
                    <w:t>合格供方选择、评价，进货产品验证</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风险：目前公司所采购产品供应稳定不足，品质不稳定，小批量供应厂商配合度不好，不能保证采购到环保达标的材料，给公司的采购带来一定的风险。</w:t>
                  </w:r>
                </w:p>
                <w:p>
                  <w:r>
                    <w:rPr>
                      <w:rFonts w:hint="eastAsia" w:ascii="Times New Roman" w:hAnsi="Times New Roman" w:eastAsia="宋体" w:cs="Times New Roman"/>
                      <w:sz w:val="18"/>
                      <w:szCs w:val="18"/>
                    </w:rPr>
                    <w:t>机遇：原料供应变动给公司带来不稳定因素较大。</w:t>
                  </w:r>
                </w:p>
              </w:tc>
              <w:tc>
                <w:tcPr>
                  <w:tcW w:w="3965" w:type="dxa"/>
                </w:tcPr>
                <w:p>
                  <w:pPr>
                    <w:shd w:val="clear" w:color="auto" w:fill="C7DAF1" w:themeFill="text2" w:themeFillTint="32"/>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1.销售部要提前制定采购计划，拓展原料采购的渠道，保证优质原料的供应。</w:t>
                  </w:r>
                </w:p>
                <w:p>
                  <w:pPr>
                    <w:shd w:val="clear" w:color="auto" w:fill="C7DAF1" w:themeFill="text2" w:themeFillTint="32"/>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2.公司提供财务支持，对主要供应商的优质原料保持价格优势，促进原料的有序采购；</w:t>
                  </w:r>
                </w:p>
                <w:p>
                  <w:pPr>
                    <w:shd w:val="clear" w:color="auto" w:fill="C7DAF1" w:themeFill="text2" w:themeFillTint="32"/>
                  </w:pPr>
                  <w:r>
                    <w:rPr>
                      <w:rFonts w:hint="eastAsia" w:ascii="Times New Roman" w:hAnsi="Times New Roman" w:eastAsia="宋体" w:cs="Times New Roman"/>
                      <w:sz w:val="18"/>
                      <w:szCs w:val="18"/>
                    </w:rPr>
                    <w:t>3.销售部做好到货原料的安排，保证到货的原料能及时输出</w:t>
                  </w:r>
                  <w:r>
                    <w:rPr>
                      <w:rFonts w:hint="eastAsia"/>
                    </w:rPr>
                    <w:t>。</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风险：公司产品售后服务处理不好，顾客埋怨投诉较多，以及产品寿命结束后的回收处理问题，会严重影响公司产品的销售，会给公司发展带来较大的风险；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机遇：售后服务处理得当，会给公司带来额外的发展机遇。</w:t>
                  </w:r>
                </w:p>
              </w:tc>
              <w:tc>
                <w:tcPr>
                  <w:tcW w:w="3965"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销售部门和产品部要严格按照售后服务管理规定，做好客户服务工作，提高客户满意度。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1、产品交付顾客验收合格率100%；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rPr>
                    <w:t>合格批次/交付批次</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2、顾客满意度≥90%；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顾客满意数/接受服务满意度调查的顾客数，按公式求百分率</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3、销售服务质量考核合格率≥95%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合格</w:t>
                  </w:r>
                  <w:r>
                    <w:rPr>
                      <w:rFonts w:hint="eastAsia" w:ascii="Times New Roman" w:hAnsi="Times New Roman" w:eastAsia="宋体" w:cs="Times New Roman"/>
                      <w:lang w:val="en-US" w:eastAsia="zh-CN"/>
                    </w:rPr>
                    <w:t>次数</w:t>
                  </w:r>
                  <w:r>
                    <w:rPr>
                      <w:rFonts w:hint="eastAsia" w:ascii="Times New Roman" w:hAnsi="Times New Roman" w:eastAsia="宋体" w:cs="Times New Roman"/>
                    </w:rPr>
                    <w:t>/交付批次</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ind w:firstLine="210" w:firstLineChars="100"/>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80  </w:t>
            </w:r>
            <w:r>
              <w:rPr>
                <w:rFonts w:hint="eastAsia"/>
              </w:rPr>
              <w:t>平方米；</w:t>
            </w:r>
            <w:r>
              <w:rPr>
                <w:rFonts w:hint="eastAsia"/>
                <w:lang w:eastAsia="zh-CN"/>
              </w:rPr>
              <w:t>办公室</w:t>
            </w:r>
            <w:r>
              <w:rPr>
                <w:rFonts w:hint="eastAsia"/>
                <w:lang w:val="en-US" w:eastAsia="zh-CN"/>
              </w:rPr>
              <w:t>1个  ，</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特种设备：□叉车□行车□锅炉□电梯□压力容器□压力管道</w:t>
            </w:r>
            <w:r>
              <w:rPr>
                <w:rFonts w:hint="eastAsia"/>
              </w:rPr>
              <w:sym w:font="Wingdings 2" w:char="0052"/>
            </w:r>
            <w:r>
              <w:rPr>
                <w:rFonts w:hint="eastAsia"/>
              </w:rPr>
              <w:t>不适用</w:t>
            </w:r>
          </w:p>
          <w:p>
            <w:pPr>
              <w:shd w:val="clear" w:color="auto" w:fill="C7DAF1" w:themeFill="text2" w:themeFillTint="32"/>
              <w:rPr>
                <w:u w:val="single"/>
              </w:rPr>
            </w:pPr>
            <w:r>
              <w:rPr>
                <w:rFonts w:hint="eastAsia"/>
              </w:rPr>
              <w:t>特种设备管理：□进行了定期检验□未进行定期检验的有：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：□计量器具□服务流程检查表□其他</w:t>
            </w:r>
          </w:p>
          <w:p>
            <w:pPr>
              <w:shd w:val="clear" w:color="auto" w:fill="C7DAF1" w:themeFill="text2" w:themeFillTint="32"/>
            </w:pPr>
            <w:r>
              <w:rPr>
                <w:rFonts w:hint="eastAsia"/>
              </w:rPr>
              <w:t>计量器具的</w:t>
            </w:r>
            <w:r>
              <w:t>测量溯源</w:t>
            </w:r>
            <w:r>
              <w:rPr>
                <w:rFonts w:hint="eastAsia"/>
              </w:rPr>
              <w:t>方法：□自校□外校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□加工工艺□生产经验□管理软件</w:t>
            </w:r>
            <w:r>
              <w:rPr>
                <w:rFonts w:hint="eastAsia"/>
              </w:rPr>
              <w:sym w:font="Wingdings 2" w:char="0052"/>
            </w:r>
            <w:r>
              <w:rPr>
                <w:rFonts w:hint="eastAsia"/>
              </w:rPr>
              <w:t>市场预测□企业标准□其他</w:t>
            </w:r>
          </w:p>
          <w:p>
            <w:pPr>
              <w:shd w:val="clear" w:color="auto" w:fill="C7DAF1" w:themeFill="text2" w:themeFillTint="32"/>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52"/>
            </w:r>
            <w:r>
              <w:rPr>
                <w:rFonts w:hint="eastAsia"/>
              </w:rPr>
              <w:t>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pPr>
                  <w:r>
                    <w:rPr>
                      <w:rFonts w:hint="eastAsia"/>
                      <w:color w:val="000000"/>
                      <w:szCs w:val="21"/>
                    </w:rPr>
                    <w:t>脱硫增效剂、脱硫消泡剂、水处理药剂、保温材料的销售</w:t>
                  </w:r>
                </w:p>
              </w:tc>
              <w:tc>
                <w:tcPr>
                  <w:tcW w:w="3665" w:type="dxa"/>
                  <w:vAlign w:val="top"/>
                </w:tcPr>
                <w:p>
                  <w:pPr>
                    <w:shd w:val="clear" w:color="auto" w:fill="C7DAF1" w:themeFill="text2" w:themeFillTint="32"/>
                    <w:jc w:val="left"/>
                  </w:pPr>
                  <w:r>
                    <w:rPr>
                      <w:rFonts w:hint="eastAsia"/>
                      <w:lang w:val="en-US" w:eastAsia="zh-CN"/>
                    </w:rPr>
                    <w:t>业务洽谈</w:t>
                  </w:r>
                </w:p>
              </w:tc>
              <w:tc>
                <w:tcPr>
                  <w:tcW w:w="3265" w:type="dxa"/>
                  <w:vAlign w:val="top"/>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A3"/>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环境、职业健康安全方针：营造绿色环境，遵守法律法规，提高环境意识；</w:t>
            </w:r>
          </w:p>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推进控制保护，提高人员素质，持续改进管理。</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风险：目前公司所采购产品供应稳定不足，品质不稳定，小批量供应厂商配合度不好，不能保证采购到环保达标的材料，给公司的采购带来一定的风险。</w:t>
                  </w:r>
                </w:p>
                <w:p>
                  <w:pPr>
                    <w:shd w:val="clear" w:color="auto" w:fill="EBF1DE" w:themeFill="accent3" w:themeFillTint="32"/>
                  </w:pPr>
                  <w:r>
                    <w:rPr>
                      <w:rFonts w:hint="eastAsia"/>
                    </w:rPr>
                    <w:t>机遇：原料供应变动给公司带来不稳定因素较大。</w:t>
                  </w:r>
                </w:p>
              </w:tc>
              <w:tc>
                <w:tcPr>
                  <w:tcW w:w="3965" w:type="dxa"/>
                </w:tcPr>
                <w:p>
                  <w:pPr>
                    <w:shd w:val="clear" w:color="auto" w:fill="EBF1DE" w:themeFill="accent3" w:themeFillTint="32"/>
                    <w:rPr>
                      <w:rFonts w:hint="eastAsia"/>
                    </w:rPr>
                  </w:pPr>
                  <w:r>
                    <w:rPr>
                      <w:rFonts w:hint="eastAsia"/>
                    </w:rPr>
                    <w:t>1.销售部要提前制定采购计划，拓展原料采购的渠道，保证优质原料的供应。</w:t>
                  </w:r>
                </w:p>
                <w:p>
                  <w:pPr>
                    <w:shd w:val="clear" w:color="auto" w:fill="EBF1DE" w:themeFill="accent3" w:themeFillTint="32"/>
                    <w:rPr>
                      <w:rFonts w:hint="eastAsia"/>
                    </w:rPr>
                  </w:pPr>
                  <w:r>
                    <w:rPr>
                      <w:rFonts w:hint="eastAsia"/>
                    </w:rPr>
                    <w:t>2.公司提供财务支持，对主要供应商的优质原料保持价格优势，促进原料的有序采购；</w:t>
                  </w:r>
                </w:p>
                <w:p>
                  <w:pPr>
                    <w:shd w:val="clear" w:color="auto" w:fill="EBF1DE" w:themeFill="accent3" w:themeFillTint="32"/>
                  </w:pPr>
                  <w:r>
                    <w:rPr>
                      <w:rFonts w:hint="eastAsia"/>
                    </w:rPr>
                    <w:t>3.销售部做好到货原料的安排，保证到货的原料能及时输出。</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rPr>
              <w:sym w:font="Wingdings 2" w:char="0052"/>
            </w:r>
            <w:r>
              <w:rPr>
                <w:rFonts w:hint="eastAsia"/>
                <w:lang w:eastAsia="zh-CN"/>
              </w:rPr>
              <w:t>固</w:t>
            </w:r>
            <w:r>
              <w:rPr>
                <w:rFonts w:hint="eastAsia"/>
              </w:rPr>
              <w:t>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lang w:eastAsia="zh-CN"/>
              </w:rPr>
              <w:t>固</w:t>
            </w:r>
            <w:r>
              <w:rPr>
                <w:rFonts w:hint="eastAsia"/>
              </w:rPr>
              <w:t>废</w:t>
            </w:r>
            <w:r>
              <w:rPr>
                <w:rFonts w:hint="eastAsia"/>
                <w:lang w:eastAsia="zh-CN"/>
              </w:rPr>
              <w:t>合理</w:t>
            </w:r>
            <w:r>
              <w:rPr>
                <w:rFonts w:hint="eastAsia"/>
              </w:rPr>
              <w:t>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ascii="Times New Roman" w:hAnsi="Times New Roman" w:eastAsia="宋体" w:cs="Times New Roman"/>
                    </w:rPr>
                    <w:t>固体废弃物分类处理率达100%</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对影响环境人员培训</w:t>
                  </w:r>
                </w:p>
                <w:p>
                  <w:pPr>
                    <w:shd w:val="clear" w:color="auto" w:fill="EBF1DE" w:themeFill="accent3" w:themeFillTint="32"/>
                    <w:rPr>
                      <w:rFonts w:hint="eastAsia"/>
                      <w:lang w:val="en-GB"/>
                    </w:rPr>
                  </w:pPr>
                  <w:r>
                    <w:rPr>
                      <w:rFonts w:hint="eastAsia"/>
                      <w:lang w:val="en-GB"/>
                    </w:rPr>
                    <w:t>办公区各种固体废弃物集中回收</w:t>
                  </w:r>
                </w:p>
                <w:p>
                  <w:pPr>
                    <w:shd w:val="clear" w:color="auto" w:fill="EBF1DE" w:themeFill="accent3" w:themeFillTint="32"/>
                    <w:rPr>
                      <w:rFonts w:hint="eastAsia"/>
                      <w:lang w:val="en-GB"/>
                    </w:rPr>
                  </w:pPr>
                  <w:r>
                    <w:rPr>
                      <w:rFonts w:hint="eastAsia"/>
                      <w:lang w:val="en-GB"/>
                    </w:rPr>
                    <w:t>设置固废容器</w:t>
                  </w:r>
                </w:p>
                <w:p>
                  <w:pPr>
                    <w:shd w:val="clear" w:color="auto" w:fill="EBF1DE" w:themeFill="accent3" w:themeFillTint="32"/>
                    <w:rPr>
                      <w:lang w:val="en-GB"/>
                    </w:rPr>
                  </w:pPr>
                  <w:r>
                    <w:rPr>
                      <w:rFonts w:hint="eastAsia"/>
                      <w:lang w:val="en-GB"/>
                    </w:rPr>
                    <w:t>各种固体废弃物集中回收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w:t>
            </w:r>
            <w:r>
              <w:rPr>
                <w:rFonts w:hint="eastAsia"/>
              </w:rPr>
              <w:t>平方米；</w:t>
            </w:r>
            <w:r>
              <w:rPr>
                <w:rFonts w:hint="eastAsia"/>
                <w:lang w:eastAsia="zh-CN"/>
              </w:rPr>
              <w:t>办公室</w:t>
            </w:r>
            <w:r>
              <w:rPr>
                <w:rFonts w:hint="eastAsia"/>
                <w:lang w:val="en-US" w:eastAsia="zh-CN"/>
              </w:rPr>
              <w:t>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eastAsia="zh-CN"/>
              </w:rPr>
              <w:t>灭火器、烟感、喷淋</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《中华人民共和国消防法》非现行有效版本，缺少中华人民共和国劳动法</w:t>
            </w:r>
          </w:p>
          <w:p>
            <w:pPr>
              <w:shd w:val="clear" w:color="auto" w:fill="EBF1DE" w:themeFill="accent3" w:themeFillTint="32"/>
            </w:pPr>
            <w:bookmarkStart w:id="35" w:name="_GoBack"/>
            <w:bookmarkEnd w:id="35"/>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日进行了</w:t>
            </w:r>
            <w:r>
              <w:rPr>
                <w:rFonts w:hint="eastAsia"/>
                <w:lang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 xml:space="preserve"> 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560" w:lineRule="exact"/>
              <w:jc w:val="both"/>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lang w:eastAsia="zh-CN"/>
              </w:rPr>
              <w:t>营造绿色环境，遵守法律法规，提高环境意识；</w:t>
            </w:r>
          </w:p>
          <w:p>
            <w:pPr>
              <w:rPr>
                <w:u w:val="single"/>
              </w:rPr>
            </w:pPr>
            <w:r>
              <w:rPr>
                <w:rFonts w:hint="eastAsia" w:ascii="Times New Roman" w:hAnsi="Times New Roman" w:eastAsia="宋体" w:cs="Times New Roman"/>
                <w:color w:val="000000"/>
                <w:szCs w:val="18"/>
                <w:lang w:eastAsia="zh-CN"/>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办公室</w:t>
            </w:r>
          </w:p>
          <w:p>
            <w:pPr>
              <w:rPr>
                <w:rFonts w:hint="eastAsia" w:eastAsia="宋体"/>
                <w:lang w:eastAsia="zh-CN"/>
              </w:rPr>
            </w:pPr>
            <w:r>
              <w:rPr>
                <w:rFonts w:hint="eastAsia"/>
              </w:rPr>
              <w:t>安全的主管部门是——</w:t>
            </w:r>
            <w:r>
              <w:rPr>
                <w:rFonts w:hint="eastAsia"/>
                <w:lang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宁金雅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965" w:type="dxa"/>
                  <w:vAlign w:val="top"/>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r>
                    <w:rPr>
                      <w:rFonts w:hint="eastAsia"/>
                      <w:sz w:val="18"/>
                      <w:szCs w:val="18"/>
                    </w:rPr>
                    <w:t>3.各职能部门加强绩效考核的有效开展，通过考核促进员工的工作积极性，提高业务素质。</w:t>
                  </w:r>
                </w:p>
              </w:tc>
              <w:tc>
                <w:tcPr>
                  <w:tcW w:w="1717" w:type="dxa"/>
                  <w:vAlign w:val="top"/>
                </w:tcPr>
                <w:p>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lang w:val="en-GB"/>
                    </w:rPr>
                    <w:t>杜绝火灾发生</w:t>
                  </w:r>
                </w:p>
              </w:tc>
              <w:tc>
                <w:tcPr>
                  <w:tcW w:w="3136" w:type="dxa"/>
                  <w:shd w:val="clear" w:color="auto" w:fill="auto"/>
                  <w:vAlign w:val="center"/>
                </w:tcPr>
                <w:p>
                  <w:pPr>
                    <w:rPr>
                      <w:rFonts w:hint="eastAsia"/>
                      <w:lang w:val="en-GB"/>
                    </w:rPr>
                  </w:pPr>
                  <w:r>
                    <w:rPr>
                      <w:rFonts w:hint="eastAsia"/>
                      <w:lang w:val="en-GB"/>
                    </w:rPr>
                    <w:t>办公室对人员进行培训</w:t>
                  </w:r>
                </w:p>
                <w:p>
                  <w:pPr>
                    <w:rPr>
                      <w:rFonts w:hint="eastAsia"/>
                      <w:lang w:val="en-GB"/>
                    </w:rPr>
                  </w:pPr>
                  <w:r>
                    <w:rPr>
                      <w:rFonts w:hint="eastAsia"/>
                      <w:lang w:val="en-GB"/>
                    </w:rPr>
                    <w:t>办公场所设置禁烟警示标识；</w:t>
                  </w:r>
                </w:p>
                <w:p>
                  <w:pPr>
                    <w:rPr>
                      <w:rFonts w:hint="eastAsia"/>
                      <w:lang w:val="en-GB"/>
                    </w:rPr>
                  </w:pPr>
                  <w:r>
                    <w:rPr>
                      <w:rFonts w:hint="eastAsia"/>
                      <w:lang w:val="en-GB"/>
                    </w:rPr>
                    <w:t>及时更换失效的消防器材；</w:t>
                  </w:r>
                </w:p>
                <w:p>
                  <w:pPr>
                    <w:rPr>
                      <w:rFonts w:hint="eastAsia"/>
                      <w:lang w:val="en-GB"/>
                    </w:rPr>
                  </w:pPr>
                  <w:r>
                    <w:rPr>
                      <w:rFonts w:hint="eastAsia"/>
                      <w:lang w:val="en-GB"/>
                    </w:rPr>
                    <w:t>对火灾进行应急预案演练</w:t>
                  </w:r>
                </w:p>
                <w:p>
                  <w:pPr>
                    <w:rPr>
                      <w:lang w:val="en-GB"/>
                    </w:rPr>
                  </w:pPr>
                  <w:r>
                    <w:rPr>
                      <w:rFonts w:hint="eastAsia"/>
                      <w:lang w:val="en-GB"/>
                    </w:rPr>
                    <w:t>定期检查，及时排除火灾隐患</w:t>
                  </w:r>
                </w:p>
              </w:tc>
              <w:tc>
                <w:tcPr>
                  <w:tcW w:w="1350" w:type="dxa"/>
                  <w:shd w:val="clear" w:color="auto" w:fill="auto"/>
                  <w:vAlign w:val="center"/>
                </w:tcPr>
                <w:p>
                  <w:pPr>
                    <w:rPr>
                      <w:lang w:val="en-GB"/>
                    </w:rPr>
                  </w:pPr>
                  <w:r>
                    <w:rPr>
                      <w:rFonts w:hint="eastAsia"/>
                      <w:lang w:val="en-US" w:eastAsia="zh-CN"/>
                    </w:rPr>
                    <w:t>办公室</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已完成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w:t>
            </w:r>
            <w:r>
              <w:rPr>
                <w:rFonts w:hint="eastAsia"/>
              </w:rPr>
              <w:t>平方米；</w:t>
            </w:r>
            <w:r>
              <w:rPr>
                <w:rFonts w:hint="eastAsia"/>
                <w:lang w:eastAsia="zh-CN"/>
              </w:rPr>
              <w:t>办公室</w:t>
            </w:r>
            <w:r>
              <w:rPr>
                <w:rFonts w:hint="eastAsia"/>
                <w:lang w:val="en-US" w:eastAsia="zh-CN"/>
              </w:rPr>
              <w:t>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rPr>
                <w:rFonts w:hint="eastAsia" w:ascii="Times New Roman" w:hAnsi="Times New Roman" w:eastAsia="宋体" w:cs="Times New Roman"/>
              </w:rPr>
            </w:pPr>
            <w:r>
              <w:rPr>
                <w:rFonts w:hint="eastAsia"/>
              </w:rPr>
              <w:t>对环</w:t>
            </w:r>
            <w:r>
              <w:rPr>
                <w:rFonts w:hint="eastAsia" w:ascii="Times New Roman" w:hAnsi="Times New Roman" w:eastAsia="宋体" w:cs="Times New Roman"/>
              </w:rPr>
              <w:t>境相关的外来文件（法律法规、产品标准）进行了识别和贯彻。</w:t>
            </w:r>
          </w:p>
          <w:p>
            <w:pPr>
              <w:rPr>
                <w:rFonts w:hint="eastAsia" w:ascii="Times New Roman" w:hAnsi="Times New Roman" w:eastAsia="宋体" w:cs="Times New Roman"/>
              </w:rPr>
            </w:pPr>
            <w:r>
              <w:rPr>
                <w:rFonts w:hint="eastAsia" w:ascii="Times New Roman" w:hAnsi="Times New Roman" w:eastAsia="宋体" w:cs="Times New Roman"/>
              </w:rPr>
              <w:t>□法律法规获取充分，</w:t>
            </w:r>
            <w:r>
              <w:rPr>
                <w:rFonts w:hint="eastAsia" w:ascii="Times New Roman" w:hAnsi="Times New Roman" w:eastAsia="宋体" w:cs="Times New Roman"/>
              </w:rPr>
              <w:sym w:font="Wingdings 2" w:char="0052"/>
            </w:r>
            <w:r>
              <w:rPr>
                <w:rFonts w:hint="eastAsia" w:ascii="Times New Roman" w:hAnsi="Times New Roman" w:eastAsia="宋体" w:cs="Times New Roman"/>
              </w:rPr>
              <w:t>法律法规获取有遗漏，缺少：</w:t>
            </w:r>
          </w:p>
          <w:p>
            <w:pPr>
              <w:rPr>
                <w:rFonts w:hint="eastAsia" w:ascii="Times New Roman" w:hAnsi="Times New Roman" w:eastAsia="宋体" w:cs="Times New Roman"/>
              </w:rPr>
            </w:pPr>
            <w:r>
              <w:rPr>
                <w:rFonts w:hint="eastAsia" w:ascii="Times New Roman" w:hAnsi="Times New Roman" w:eastAsia="宋体" w:cs="Times New Roman"/>
                <w:lang w:val="en-US" w:eastAsia="zh-CN"/>
              </w:rPr>
              <w:t>《中华人民共和国消防法》非现行有效版本，缺少中华人民共和国劳动法</w:t>
            </w:r>
          </w:p>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A3"/>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pPr>
                  <w:r>
                    <w:rPr>
                      <w:rFonts w:hint="eastAsia"/>
                      <w:lang w:val="en-US" w:eastAsia="zh-CN"/>
                    </w:rPr>
                    <w:t>管理方案、应急预案</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日进行了</w:t>
            </w:r>
            <w:r>
              <w:rPr>
                <w:rFonts w:hint="eastAsia"/>
                <w:lang w:eastAsia="zh-CN"/>
              </w:rPr>
              <w:t>火灾应急</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73"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4B0C87"/>
    <w:rsid w:val="1279351E"/>
    <w:rsid w:val="22A5726E"/>
    <w:rsid w:val="275E4527"/>
    <w:rsid w:val="277852DF"/>
    <w:rsid w:val="2A375D41"/>
    <w:rsid w:val="2C063C1D"/>
    <w:rsid w:val="303A2733"/>
    <w:rsid w:val="30D065A7"/>
    <w:rsid w:val="30EB1633"/>
    <w:rsid w:val="359378BB"/>
    <w:rsid w:val="35E45E36"/>
    <w:rsid w:val="3B5B266B"/>
    <w:rsid w:val="41457635"/>
    <w:rsid w:val="46EC35B7"/>
    <w:rsid w:val="5CA16EC6"/>
    <w:rsid w:val="670536A6"/>
    <w:rsid w:val="6E1214F4"/>
    <w:rsid w:val="6FC1431C"/>
    <w:rsid w:val="7BDF338E"/>
    <w:rsid w:val="7E040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雒松森</cp:lastModifiedBy>
  <cp:lastPrinted>2019-05-13T03:19:00Z</cp:lastPrinted>
  <dcterms:modified xsi:type="dcterms:W3CDTF">2022-07-05T07:03:47Z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2052-11.1.0.11372</vt:lpwstr>
  </property>
</Properties>
</file>