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伯纳德（天津）仪表有限公司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张星</w:t>
            </w:r>
            <w:r>
              <w:rPr>
                <w:rFonts w:hint="eastAsia"/>
                <w:color w:val="000000"/>
                <w:sz w:val="24"/>
                <w:szCs w:val="24"/>
              </w:rPr>
              <w:t xml:space="preserve">           审核时间：</w:t>
            </w:r>
            <w:bookmarkStart w:id="2" w:name="审核日期"/>
            <w:r>
              <w:rPr>
                <w:color w:val="000000"/>
              </w:rPr>
              <w:t>2022年07月04日 上午至2022年07月04日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u w:val="single"/>
                <w:lang w:val="en-US" w:eastAsia="zh-CN"/>
              </w:rPr>
            </w:pPr>
            <w:r>
              <w:rPr>
                <w:rFonts w:hint="eastAsia"/>
                <w:color w:val="000000"/>
                <w:szCs w:val="21"/>
              </w:rPr>
              <w:t>编号</w:t>
            </w:r>
            <w:r>
              <w:rPr>
                <w:rFonts w:hint="eastAsia"/>
                <w:color w:val="000000"/>
                <w:szCs w:val="21"/>
                <w:u w:val="single"/>
              </w:rPr>
              <w:t>：</w:t>
            </w:r>
            <w:bookmarkStart w:id="3" w:name="机构代码"/>
            <w:r>
              <w:rPr>
                <w:sz w:val="22"/>
                <w:szCs w:val="22"/>
              </w:rPr>
              <w:t>91120116MA7F3HYP7W</w:t>
            </w:r>
            <w:bookmarkEnd w:id="3"/>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 xml:space="preserve"> 2021.12.22至 长期</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 xml:space="preserve"> 仪器仪表的销售；智能仪器仪表的销售；仪器仪表的修理</w:t>
            </w:r>
          </w:p>
          <w:p>
            <w:pPr>
              <w:spacing w:line="440" w:lineRule="exact"/>
              <w:ind w:firstLine="420" w:firstLineChars="200"/>
              <w:rPr>
                <w:color w:val="000000"/>
                <w:szCs w:val="21"/>
              </w:rPr>
            </w:pPr>
            <w:r>
              <w:rPr>
                <w:rFonts w:hint="eastAsia"/>
                <w:color w:val="000000"/>
              </w:rPr>
              <w:t>认证申请范围：</w:t>
            </w:r>
            <w:bookmarkStart w:id="4" w:name="审核范围"/>
            <w:r>
              <w:t>电动执行器、电动阀门的销售</w:t>
            </w:r>
            <w:bookmarkEnd w:id="4"/>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360"/>
              </w:tabs>
              <w:autoSpaceDE w:val="0"/>
              <w:autoSpaceDN w:val="0"/>
              <w:adjustRightInd w:val="0"/>
              <w:spacing w:line="360" w:lineRule="exact"/>
              <w:rPr>
                <w:rFonts w:hint="eastAsia" w:ascii="宋体" w:hAnsi="Times New Roman" w:cs="宋体"/>
                <w:color w:val="000000"/>
                <w:sz w:val="24"/>
                <w:lang w:val="en-US" w:eastAsia="zh-CN"/>
              </w:rPr>
            </w:pPr>
            <w:r>
              <w:rPr>
                <w:rFonts w:hint="eastAsia" w:ascii="宋体" w:hAnsi="Times New Roman" w:cs="宋体"/>
                <w:color w:val="000000"/>
                <w:sz w:val="24"/>
                <w:lang w:val="en-US" w:eastAsia="zh-CN"/>
              </w:rPr>
              <w:t>生产和服务流程图：</w:t>
            </w:r>
          </w:p>
          <w:p>
            <w:pPr>
              <w:rPr>
                <w:rFonts w:hint="eastAsia" w:ascii="Times New Roman" w:hAnsi="Times New Roman" w:eastAsia="宋体" w:cs="Times New Roman"/>
                <w:color w:val="000000"/>
                <w:lang w:val="zh-CN"/>
              </w:rPr>
            </w:pPr>
            <w:r>
              <w:rPr>
                <w:rFonts w:hint="eastAsia" w:ascii="Times New Roman" w:hAnsi="Times New Roman" w:eastAsia="宋体" w:cs="Times New Roman"/>
                <w:color w:val="000000"/>
                <w:lang w:val="zh-CN"/>
              </w:rPr>
              <w:t>顾客需求-</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lang w:val="zh-CN"/>
              </w:rPr>
              <w:t>合同评审-</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lang w:val="zh-CN"/>
              </w:rPr>
              <w:t>签订合同-产品采购-</w:t>
            </w:r>
            <w:r>
              <w:rPr>
                <w:rFonts w:hint="eastAsia" w:ascii="Times New Roman" w:hAnsi="Times New Roman" w:eastAsia="宋体" w:cs="Times New Roman"/>
                <w:color w:val="000000"/>
                <w:lang w:val="en-US" w:eastAsia="zh-CN"/>
              </w:rPr>
              <w:t>供方发货</w:t>
            </w:r>
            <w:r>
              <w:rPr>
                <w:rFonts w:hint="eastAsia" w:ascii="Times New Roman" w:hAnsi="Times New Roman" w:eastAsia="宋体" w:cs="Times New Roman"/>
                <w:color w:val="000000"/>
                <w:lang w:val="zh-CN"/>
              </w:rPr>
              <w:t>-</w:t>
            </w:r>
            <w:r>
              <w:rPr>
                <w:rFonts w:hint="eastAsia" w:ascii="Times New Roman" w:hAnsi="Times New Roman" w:eastAsia="宋体" w:cs="Times New Roman"/>
                <w:color w:val="000000"/>
                <w:lang w:val="en-US" w:eastAsia="zh-CN"/>
              </w:rPr>
              <w:t>客户验收</w:t>
            </w:r>
            <w:r>
              <w:rPr>
                <w:rFonts w:hint="eastAsia" w:ascii="Times New Roman" w:hAnsi="Times New Roman" w:eastAsia="宋体" w:cs="Times New Roman"/>
                <w:color w:val="000000"/>
                <w:lang w:val="zh-CN"/>
              </w:rPr>
              <w:t>-售后服务</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10</w:t>
            </w:r>
            <w:r>
              <w:rPr>
                <w:rFonts w:hint="eastAsia"/>
                <w:color w:val="000000"/>
                <w:szCs w:val="21"/>
              </w:rPr>
              <w:t>（总计人）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2</w:t>
            </w:r>
            <w:r>
              <w:rPr>
                <w:rFonts w:hint="eastAsia"/>
                <w:color w:val="000000"/>
                <w:szCs w:val="21"/>
              </w:rPr>
              <w:t>人</w:t>
            </w:r>
            <w:r>
              <w:rPr>
                <w:rFonts w:hint="eastAsia"/>
                <w:color w:val="000000"/>
                <w:szCs w:val="18"/>
              </w:rPr>
              <w:t>；</w:t>
            </w:r>
            <w:r>
              <w:rPr>
                <w:rFonts w:hint="eastAsia"/>
                <w:color w:val="000000"/>
                <w:szCs w:val="18"/>
                <w:lang w:val="en-US" w:eastAsia="zh-CN"/>
              </w:rPr>
              <w:t>业务</w:t>
            </w:r>
            <w:r>
              <w:rPr>
                <w:rFonts w:hint="eastAsia"/>
                <w:color w:val="000000"/>
                <w:szCs w:val="18"/>
              </w:rPr>
              <w:t>人员</w:t>
            </w:r>
            <w:r>
              <w:rPr>
                <w:rFonts w:hint="eastAsia"/>
                <w:color w:val="000000"/>
                <w:szCs w:val="18"/>
                <w:lang w:val="en-US" w:eastAsia="zh-CN"/>
              </w:rPr>
              <w:t>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QMS  □EMS  □OHSMS</w:t>
            </w:r>
            <w:r>
              <w:rPr>
                <w:rFonts w:hint="eastAsia"/>
                <w:color w:val="000000"/>
                <w:szCs w:val="21"/>
                <w:lang w:val="en-US" w:eastAsia="zh-CN"/>
              </w:rPr>
              <w:t xml:space="preserve"> </w:t>
            </w:r>
            <w:r>
              <w:rPr>
                <w:rFonts w:hint="eastAsia"/>
                <w:color w:val="000000"/>
                <w:szCs w:val="21"/>
              </w:rPr>
              <w:t xml:space="preserve"> □FSMSMS </w:t>
            </w:r>
            <w:r>
              <w:rPr>
                <w:rFonts w:hint="eastAsia"/>
                <w:color w:val="000000"/>
                <w:szCs w:val="21"/>
                <w:lang w:val="en-US" w:eastAsia="zh-CN"/>
              </w:rPr>
              <w:t xml:space="preserve"> </w:t>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sym w:font="Wingdings 2" w:char="0052"/>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 xml:space="preserve">  产品运输</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b/>
                      <w:color w:val="000000"/>
                      <w:sz w:val="24"/>
                      <w:lang w:val="zh-CN"/>
                    </w:rPr>
                    <w:t>交货（产品、服务）合格率≥99%</w:t>
                  </w:r>
                </w:p>
              </w:tc>
              <w:tc>
                <w:tcPr>
                  <w:tcW w:w="1387" w:type="dxa"/>
                </w:tcPr>
                <w:p>
                  <w:pPr>
                    <w:widowControl/>
                    <w:spacing w:before="40"/>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 xml:space="preserve"> 季度</w:t>
                  </w:r>
                </w:p>
              </w:tc>
              <w:tc>
                <w:tcPr>
                  <w:tcW w:w="3499" w:type="dxa"/>
                  <w:vAlign w:val="top"/>
                </w:tcPr>
                <w:p>
                  <w:pPr>
                    <w:widowControl/>
                    <w:spacing w:before="40"/>
                    <w:jc w:val="left"/>
                    <w:rPr>
                      <w:rFonts w:hint="default" w:eastAsia="宋体"/>
                      <w:color w:val="000000"/>
                      <w:szCs w:val="18"/>
                      <w:highlight w:val="cyan"/>
                      <w:lang w:val="en-US" w:eastAsia="zh-CN"/>
                    </w:rPr>
                  </w:pPr>
                  <w:r>
                    <w:rPr>
                      <w:rFonts w:hint="eastAsia"/>
                      <w:color w:val="000000"/>
                      <w:szCs w:val="18"/>
                      <w:lang w:val="en-US" w:eastAsia="zh-CN"/>
                    </w:rPr>
                    <w:t>交货产品</w:t>
                  </w:r>
                  <w:r>
                    <w:rPr>
                      <w:rFonts w:hint="eastAsia"/>
                      <w:color w:val="000000"/>
                      <w:szCs w:val="18"/>
                    </w:rPr>
                    <w:t>数量/总产品数量*100%</w:t>
                  </w:r>
                </w:p>
              </w:tc>
              <w:tc>
                <w:tcPr>
                  <w:tcW w:w="2444"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 xml:space="preserve"> 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b/>
                      <w:color w:val="000000"/>
                      <w:sz w:val="24"/>
                      <w:lang w:val="zh-CN"/>
                    </w:rPr>
                    <w:t>交货及时率≥98%</w:t>
                  </w:r>
                </w:p>
              </w:tc>
              <w:tc>
                <w:tcPr>
                  <w:tcW w:w="1387" w:type="dxa"/>
                </w:tcPr>
                <w:p>
                  <w:pPr>
                    <w:widowControl/>
                    <w:spacing w:before="40"/>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 xml:space="preserve"> 季度</w:t>
                  </w:r>
                </w:p>
              </w:tc>
              <w:tc>
                <w:tcPr>
                  <w:tcW w:w="3499" w:type="dxa"/>
                </w:tcPr>
                <w:p>
                  <w:pPr>
                    <w:widowControl/>
                    <w:spacing w:before="40"/>
                    <w:jc w:val="left"/>
                    <w:rPr>
                      <w:rFonts w:hint="default" w:eastAsia="宋体"/>
                      <w:color w:val="000000"/>
                      <w:szCs w:val="18"/>
                      <w:highlight w:val="cyan"/>
                      <w:lang w:val="en-US" w:eastAsia="zh-CN"/>
                    </w:rPr>
                  </w:pPr>
                  <w:r>
                    <w:rPr>
                      <w:rFonts w:hint="eastAsia" w:ascii="Times New Roman" w:hAnsi="Times New Roman" w:eastAsia="宋体" w:cs="Times New Roman"/>
                      <w:color w:val="000000"/>
                      <w:szCs w:val="18"/>
                      <w:lang w:val="en-US" w:eastAsia="zh-CN"/>
                    </w:rPr>
                    <w:t>实际交货日期/合同约定交货日期*100%</w:t>
                  </w:r>
                </w:p>
              </w:tc>
              <w:tc>
                <w:tcPr>
                  <w:tcW w:w="2444" w:type="dxa"/>
                  <w:vAlign w:val="top"/>
                </w:tcPr>
                <w:p>
                  <w:pPr>
                    <w:widowControl/>
                    <w:spacing w:before="40"/>
                    <w:jc w:val="left"/>
                    <w:rPr>
                      <w:color w:val="000000"/>
                      <w:szCs w:val="18"/>
                      <w:highlight w:val="cyan"/>
                    </w:rPr>
                  </w:pPr>
                  <w:r>
                    <w:rPr>
                      <w:rFonts w:hint="eastAsia" w:ascii="Times New Roman" w:hAnsi="Times New Roman" w:eastAsia="宋体" w:cs="Times New Roman"/>
                      <w:color w:val="000000"/>
                      <w:szCs w:val="18"/>
                      <w:lang w:val="en-US" w:eastAsia="zh-CN"/>
                    </w:rPr>
                    <w:t xml:space="preserve"> 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443" w:type="dxa"/>
                </w:tcPr>
                <w:p>
                  <w:pPr>
                    <w:widowControl/>
                    <w:spacing w:before="40"/>
                    <w:jc w:val="left"/>
                    <w:rPr>
                      <w:color w:val="000000"/>
                      <w:szCs w:val="18"/>
                      <w:highlight w:val="cyan"/>
                    </w:rPr>
                  </w:pPr>
                  <w:r>
                    <w:rPr>
                      <w:rFonts w:hint="eastAsia" w:ascii="宋体"/>
                      <w:b/>
                      <w:color w:val="000000"/>
                      <w:sz w:val="24"/>
                      <w:lang w:val="zh-CN"/>
                    </w:rPr>
                    <w:t>顾客满意度≥96%</w:t>
                  </w:r>
                </w:p>
              </w:tc>
              <w:tc>
                <w:tcPr>
                  <w:tcW w:w="1387" w:type="dxa"/>
                </w:tcPr>
                <w:p>
                  <w:pPr>
                    <w:widowControl/>
                    <w:spacing w:before="40"/>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 xml:space="preserve"> 季度</w:t>
                  </w:r>
                </w:p>
              </w:tc>
              <w:tc>
                <w:tcPr>
                  <w:tcW w:w="3499"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满意度测试分数/测试总分数*100%</w:t>
                  </w:r>
                </w:p>
              </w:tc>
              <w:tc>
                <w:tcPr>
                  <w:tcW w:w="2444" w:type="dxa"/>
                  <w:vAlign w:val="top"/>
                </w:tcPr>
                <w:p>
                  <w:pPr>
                    <w:widowControl/>
                    <w:spacing w:before="40"/>
                    <w:jc w:val="left"/>
                    <w:rPr>
                      <w:color w:val="000000"/>
                      <w:szCs w:val="18"/>
                      <w:highlight w:val="cyan"/>
                    </w:rPr>
                  </w:pPr>
                  <w:r>
                    <w:rPr>
                      <w:rFonts w:hint="eastAsia" w:ascii="Times New Roman" w:hAnsi="Times New Roman" w:eastAsia="宋体" w:cs="Times New Roman"/>
                      <w:color w:val="000000"/>
                      <w:szCs w:val="18"/>
                      <w:lang w:val="en-US" w:eastAsia="zh-CN"/>
                    </w:rPr>
                    <w:t xml:space="preserve"> 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15</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6</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46</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10</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bookmarkStart w:id="5" w:name="_GoBack"/>
            <w:r>
              <w:rPr>
                <w:rFonts w:hint="eastAsia"/>
                <w:color w:val="000000"/>
                <w:szCs w:val="18"/>
              </w:rPr>
              <w:t>内审</w:t>
            </w:r>
            <w:bookmarkEnd w:id="5"/>
            <w:r>
              <w:rPr>
                <w:rFonts w:hint="eastAsia"/>
                <w:color w:val="000000"/>
                <w:szCs w:val="18"/>
              </w:rPr>
              <w:t>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18</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 xml:space="preserve"> 8.3</w:t>
            </w:r>
          </w:p>
          <w:p>
            <w:pPr>
              <w:rPr>
                <w:color w:val="000000"/>
                <w:szCs w:val="18"/>
              </w:rPr>
            </w:pPr>
            <w:r>
              <w:rPr>
                <w:rFonts w:hint="eastAsia"/>
                <w:color w:val="000000"/>
                <w:szCs w:val="18"/>
              </w:rPr>
              <w:t>合理理由的详细说明：</w:t>
            </w:r>
            <w:r>
              <w:rPr>
                <w:rFonts w:hint="eastAsia"/>
                <w:color w:val="000000"/>
                <w:szCs w:val="18"/>
                <w:lang w:val="en-US" w:eastAsia="zh-CN"/>
              </w:rPr>
              <w:t xml:space="preserve">目前所销售产品市场稳定，无设计开发责任。不适用8.3条款不影响公司确保其产品和服务合格以及增强顾客满意的能力或责任。 </w:t>
            </w: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eastAsia="zh-CN"/>
              </w:rPr>
              <w:t>：合同评审、产品采购</w:t>
            </w:r>
            <w:r>
              <w:rPr>
                <w:rFonts w:hint="eastAsia"/>
                <w:color w:val="000000"/>
                <w:lang w:val="en-US" w:eastAsia="zh-CN"/>
              </w:rPr>
              <w:t xml:space="preserve">    </w:t>
            </w:r>
            <w:r>
              <w:rPr>
                <w:rFonts w:hint="eastAsia"/>
                <w:color w:val="000000"/>
              </w:rPr>
              <w:t>相关控制参数名称：</w:t>
            </w:r>
            <w:r>
              <w:rPr>
                <w:rFonts w:hint="eastAsia"/>
                <w:color w:val="000000"/>
                <w:u w:val="single"/>
              </w:rPr>
              <w:t xml:space="preserve">订单执行时间、需求数量、 采购质量 、符合计划要求  </w:t>
            </w:r>
          </w:p>
          <w:p>
            <w:pPr>
              <w:rPr>
                <w:rFonts w:hint="eastAsia" w:eastAsia="宋体"/>
                <w:color w:val="000000"/>
                <w:u w:val="single"/>
                <w:lang w:val="en-US" w:eastAsia="zh-CN"/>
              </w:rPr>
            </w:pPr>
            <w:r>
              <w:rPr>
                <w:rFonts w:hint="eastAsia"/>
                <w:color w:val="000000"/>
              </w:rPr>
              <w:t>需要确认的过程（工序）：</w:t>
            </w:r>
            <w:r>
              <w:rPr>
                <w:rFonts w:hint="eastAsia"/>
                <w:color w:val="000000"/>
                <w:u w:val="single"/>
                <w:lang w:val="en-US" w:eastAsia="zh-CN"/>
              </w:rPr>
              <w:t>销售</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w:t>
            </w:r>
            <w:r>
              <w:rPr>
                <w:rFonts w:hint="eastAsia"/>
                <w:color w:val="000000"/>
                <w:szCs w:val="21"/>
              </w:rPr>
              <w:sym w:font="Wingdings 2" w:char="0052"/>
            </w:r>
            <w:r>
              <w:rPr>
                <w:rFonts w:hint="eastAsia"/>
                <w:color w:val="000000"/>
                <w:szCs w:val="21"/>
              </w:rPr>
              <w:t xml:space="preserve">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w:t>
            </w:r>
            <w:r>
              <w:rPr>
                <w:rFonts w:hint="eastAsia"/>
                <w:color w:val="000000"/>
                <w:lang w:val="en-US" w:eastAsia="zh-CN"/>
              </w:rPr>
              <w:t>销售</w:t>
            </w:r>
            <w:r>
              <w:rPr>
                <w:rFonts w:hint="eastAsia"/>
                <w:color w:val="000000"/>
              </w:rPr>
              <w:t>区域（</w:t>
            </w:r>
            <w:r>
              <w:rPr>
                <w:rFonts w:hint="eastAsia"/>
                <w:color w:val="000000"/>
                <w:szCs w:val="21"/>
              </w:rPr>
              <w:sym w:font="Wingdings 2" w:char="0052"/>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rFonts w:hint="eastAsia" w:eastAsia="宋体"/>
                <w:color w:val="000000"/>
                <w:lang w:val="en-US" w:eastAsia="zh-CN"/>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；电话、电脑、打印机、汽车</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292D7360"/>
    <w:rsid w:val="2FAB360C"/>
    <w:rsid w:val="31811EE3"/>
    <w:rsid w:val="555167F5"/>
    <w:rsid w:val="5EE1467E"/>
    <w:rsid w:val="6F9F5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33</TotalTime>
  <ScaleCrop>false</ScaleCrop>
  <LinksUpToDate>false</LinksUpToDate>
  <CharactersWithSpaces>13072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2022-07-05T06:17:09Z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