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成都坤恒顺维科技股份有限公司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研发部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固废分类管理，在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样品制作间</w:t>
            </w:r>
            <w:r>
              <w:rPr>
                <w:rFonts w:hint="eastAsia" w:ascii="方正仿宋简体" w:eastAsia="方正仿宋简体"/>
                <w:b/>
              </w:rPr>
              <w:t>，各种固废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存</w:t>
            </w:r>
            <w:r>
              <w:rPr>
                <w:rFonts w:hint="eastAsia" w:ascii="方正仿宋简体" w:eastAsia="方正仿宋简体"/>
                <w:b/>
              </w:rPr>
              <w:t>放在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同一垃圾桶内</w:t>
            </w:r>
            <w:r>
              <w:rPr>
                <w:rFonts w:hint="eastAsia" w:ascii="方正仿宋简体" w:eastAsia="方正仿宋简体"/>
                <w:b/>
              </w:rPr>
              <w:t>，未按要求进行固废分类收集处理。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条款“组织应建立、实施、控制并保持满足环境管理体系要求以及实施6.1和6.2所识别的措施所需的过程，通过：按照运行准则实施过程控制”的要求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Start w:id="7" w:name="_GoBack"/>
            <w:bookmarkEnd w:id="7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1D307C"/>
    <w:rsid w:val="6C613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2019-12-23T05:51:57Z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