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湖北成群建设工程有限公司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温红玲，周文廷，张亮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2022年07月03日 上午至2022年07月04日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：91420300MA48R6Y011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2016.12.23至</w:t>
            </w:r>
            <w:r>
              <w:rPr>
                <w:rFonts w:hint="eastAsia"/>
                <w:color w:val="000000"/>
                <w:szCs w:val="21"/>
              </w:rPr>
              <w:t>长期；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：公路工程、铁路工程、隧道工程、机电工程、水利水电工程、公路路基工程、公路路面工程、桥梁工程、钢结构工程、地基基础工程等；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bookmarkStart w:id="3" w:name="审核范围"/>
            <w:r>
              <w:t>O：资质范围内的建筑工程施工总承包、公路工程施工总承包、市政工程施工总承包所涉及场所的相关职业健康安全管理活动</w:t>
            </w:r>
          </w:p>
          <w:p>
            <w:r>
              <w:t>EC：资质范围内的建筑工程施工总承包、公路工程施工总承包、市政工程施工总承包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t>E：资质范围内的建筑工程施工总承包、公路工程施工总承包、市政工程施工总承包所涉及场所的相关环境管理活动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《建筑业企业资质证书》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：D342123848 </w:t>
            </w:r>
            <w:r>
              <w:rPr>
                <w:rFonts w:hint="eastAsia"/>
                <w:color w:val="000000"/>
                <w:szCs w:val="21"/>
              </w:rPr>
              <w:t>； 有效期：2022.12.31；</w:t>
            </w:r>
          </w:p>
          <w:p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相关描述：</w:t>
            </w:r>
          </w:p>
          <w:p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环保工程专业承包三级</w:t>
            </w:r>
          </w:p>
          <w:p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钢结构专业工程承包三级</w:t>
            </w:r>
          </w:p>
          <w:p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城市及道路照明工程专业承包三级</w:t>
            </w:r>
          </w:p>
          <w:p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建筑工程施工总承包三级</w:t>
            </w:r>
          </w:p>
          <w:p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市政公用工程总承包三级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公路工程施工总承包三级</w:t>
            </w:r>
            <w:r>
              <w:rPr>
                <w:rFonts w:hint="eastAsia"/>
                <w:color w:val="000000"/>
                <w:szCs w:val="21"/>
              </w:rPr>
              <w:t>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r>
              <w:t>O：资质范围内的建筑工程施工总承包、公路工程施工总承包、市政工程施工总承包所涉及场所的相关职业健康安全管理活动</w:t>
            </w:r>
          </w:p>
          <w:p>
            <w:r>
              <w:t>EC：资质范围内的建筑工程施工总承包、公路工程施工总承包、市政工程施工总承包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t>E：资质范围内的建筑工程施工总承包、公路工程施工总承包、市政工程施工总承包所涉及场所的相关环境管理活动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《安全生产许可证》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副本；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ind w:firstLine="210" w:firstLineChars="100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编号：</w:t>
            </w:r>
            <w:r>
              <w:rPr>
                <w:rFonts w:hint="eastAsia" w:ascii="楷体" w:hAnsi="楷体" w:eastAsia="楷体" w:cs="楷体"/>
                <w:color w:val="auto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鄂）JZ安许证字（2017）017817</w:t>
            </w:r>
            <w:r>
              <w:rPr>
                <w:rFonts w:hint="eastAsia" w:ascii="楷体" w:hAnsi="楷体" w:eastAsia="楷体" w:cs="楷体"/>
                <w:color w:val="auto"/>
              </w:rPr>
              <w:t>；  有效期：  至202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3.11.2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十堰经济技术开发区中观街马路村二组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经营地址：十堰市天津路48号欣玺来酒店附属办公楼二楼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lang w:val="en-US" w:eastAsia="zh-CN"/>
              </w:rPr>
              <w:t>建筑总承包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十堰东城经济开发区茅箭堂村陈家岗便民市场改造项目</w:t>
            </w:r>
            <w:r>
              <w:rPr>
                <w:rFonts w:hint="eastAsia"/>
                <w:color w:val="auto"/>
              </w:rPr>
              <w:tab/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十堰东城经济开发区茅箭堂村陈家岗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现场2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茅塔乡台子村四组通组道路提档升级项目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茅塔乡台子村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现场3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茅箭区2021年市政设施维护维修项目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十堰市茅箭区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施工总流程：施工准备-材料设备进场-施工过程控制-分部分项工程验收（隐蔽工程验收）-竣工预验收-竣工验收-工程交付-保修服务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市政（城市道路、管道安装等）：施工前准备→测量放线→材料进场验收（外观检验、合格证、复试报告）→道路施工（土石方工程、路基路面工程、人行道工程）→给排水设施→路灯工程→ 道路附属工程→各工序、分部分项验收→ 竣工验收</w:t>
            </w:r>
          </w:p>
          <w:p>
            <w:pPr>
              <w:pStyle w:val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◢关键过程：土石方路基、挖石方路基、水泥稳定基层施工、沥青混泥土面层施工、给排水施工等</w:t>
            </w:r>
          </w:p>
          <w:p>
            <w:pPr>
              <w:pStyle w:val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◢特殊过程：路面稳定基层混合料配合比控制、橡胶沥青现场制备过程控制、沥青混合料拌合参数控制、沥青混合料摊铺及碾压参数控制等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公路工程：施工前准备→测量放线→材料进场验收（外观检验、合格证、复试报告）→道路施工（挖除旧路面、路基挖土方、路基填筑、边沟、挡土墙、路床处理、挂网喷播防护、路面底基层、路面基层、沥青混凝土面层、封层）→圆管涵→钢筋混凝土盖板涵→波形钢板护栏→交通标志→各工序、分部分项验收→ 竣工验收</w:t>
            </w:r>
          </w:p>
          <w:p>
            <w:pPr>
              <w:pStyle w:val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◢关键过程：土石方路基、高填方路基、挖石方路基、水泥稳定基层施工、沥青混泥土面层施工、涵洞施工等</w:t>
            </w:r>
          </w:p>
          <w:p>
            <w:pPr>
              <w:pStyle w:val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◢特殊过程：路面稳定基层混合料配合比控制、橡胶沥青现场制备过程控制、沥青混合料拌合参数控制、沥青混合料摊铺及碾压参数控制等</w:t>
            </w:r>
          </w:p>
          <w:p>
            <w:pPr>
              <w:pStyle w:val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3、建筑工程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drawing>
                <wp:inline distT="0" distB="0" distL="114300" distR="114300">
                  <wp:extent cx="2890520" cy="3905885"/>
                  <wp:effectExtent l="0" t="0" r="508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520" cy="390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Cs w:val="21"/>
              </w:rPr>
              <w:t>关键过程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1）基础工程方面包括：土方工程，混凝土灌注桩浇注，地下连续墙，土钉墙，后浇带及其他结构混凝土，防水混凝土浇筑，卷材防水层细部构造处理，钢结构安装。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2）主体结构工程方面包括：梁柱节点钢筋隐蔽工程，混凝土浇注，预应力张拉，装配式结构安装，钢结构安装，网架结构安装，索膜安装。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3）其它方面包括：外墙外保温施工，脚手架安拆，大型机械设备安拆。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控制措施：经过审批的施工组织设计及专门技术交底等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Cs w:val="21"/>
              </w:rPr>
              <w:t>建筑工程需确认过程一般有：焊接、大体积混凝土浇筑、吊桩、钢结构防腐、防水工程等，对需确认过程的控制一般有以下几个方面：1、对设备、人员进行确认，2、按照经过确认审批的施工组织设计进行控制，3、设置工序质量控制点4、编制专门的技术交底，5、现场监督管理</w:t>
            </w:r>
          </w:p>
          <w:p>
            <w:pPr>
              <w:pStyle w:val="2"/>
              <w:jc w:val="both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认证范围内管理体系覆盖的人数（总计45人）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；操作人员3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管理手册发布的时间：2022年1月7日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至今管理体系已运行6个月以上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标准宣贯的时间：2021年12月日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ind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规范管理  全员参与    精心施工  创建品牌      </w:t>
            </w:r>
          </w:p>
          <w:p>
            <w:pPr>
              <w:spacing w:line="360" w:lineRule="auto"/>
              <w:ind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控制污染   保护环境   风险控制   重保安全   </w:t>
            </w:r>
          </w:p>
          <w:p>
            <w:pPr>
              <w:spacing w:line="360" w:lineRule="auto"/>
              <w:ind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优质服务  顾客为先   控制过程  确保质量</w:t>
            </w:r>
          </w:p>
          <w:p>
            <w:pPr>
              <w:widowControl/>
              <w:spacing w:before="40"/>
              <w:ind w:firstLine="1470" w:firstLineChars="7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遵纪守法  兑现承诺   预防为主  持续改进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11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工程竣工一次交验合格率≥95%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竣工项目验收合格的数目目/报验项目*100%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工程竣工一次交验合格率9</w:t>
                  </w:r>
                  <w:r>
                    <w:rPr>
                      <w:rFonts w:ascii="宋体" w:hAnsi="宋体"/>
                      <w:szCs w:val="21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合同履约率≥92%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符合合同要求的数目/合同总数量*100%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合同履约率</w:t>
                  </w:r>
                  <w:r>
                    <w:rPr>
                      <w:rFonts w:ascii="宋体" w:hAnsi="宋体"/>
                      <w:szCs w:val="21"/>
                    </w:rPr>
                    <w:t>98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顾客满意率9</w:t>
                  </w:r>
                  <w:r>
                    <w:rPr>
                      <w:rFonts w:ascii="宋体" w:hAnsi="宋体"/>
                      <w:szCs w:val="21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施工噪声控制符合国家标准：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施工现场噪声: ≤75昼间;  ≤55夜间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施工扬尘控制达到国家标准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施工垃圾固体废弃物达标排放: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有害废弃物控制率100%，2)一般废弃物控制率≥90%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实际处理的次数/规定需处理的次数*100%</w:t>
                  </w:r>
                </w:p>
              </w:tc>
              <w:tc>
                <w:tcPr>
                  <w:tcW w:w="2444" w:type="dxa"/>
                </w:tcPr>
                <w:p>
                  <w:pPr>
                    <w:spacing w:line="5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施工垃圾固体废弃物达标排放: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 1)有害废弃物控制率100%，2)一般废弃物控制率9</w:t>
                  </w:r>
                  <w:r>
                    <w:rPr>
                      <w:rFonts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人员安全保证率 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spacing w:line="500" w:lineRule="exact"/>
                    <w:ind w:firstLine="411" w:firstLineChars="196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职业健康安全事故：火灾、触电事故为零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施工过程重伤率为零，轻伤事故＜3%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-文件化的程序；43份；详见《受控文件清单》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>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-记录表格；75份；详见《记录清单》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自管理体系建立后，于2022年5月8-9日实施了内部审核；记录包括：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自管理体系建立后，于2022年5月13日实施了管理评审；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 w:ascii="宋体" w:hAnsi="宋体"/>
                <w:szCs w:val="21"/>
              </w:rPr>
              <w:t xml:space="preserve">GB/T 19001:2016 idt ISO 9001:2015标准 ： 8.3  条款、GB/T 50430-2017标准10.3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楷体" w:hAnsi="楷体" w:eastAsia="楷体" w:cs="楷体"/>
                <w:szCs w:val="21"/>
              </w:rPr>
              <w:t>根据本公司建筑施工特点，公司依据国家标准规定组织施工，在服务和施工过程中只负责施工方案的策划，不负责工程设计，施工和控制方法按审批的施工组织设计或专项方案进行。因此不存在工程设计过程，故GB/T19001-2016标准8.3条款、GB/T50430-2017标准10.3条款暂不适用，公司所确定的不适用的要求不影响实现顾客满意度影响，不影响组织提供满足顾客要求和适用的法律、法规要求的能力和责任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- 确认生产/服务流程</w:t>
            </w:r>
          </w:p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color w:val="00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▇与提供流程图一致   ¨与提供流程图不一致，说明： 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质量关键过程（工序）：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1、市政道路施工：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土石方路基、挖石方路基、水泥稳定基层施工、沥青混泥土面层施工、给排水施工等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相关控制参数名称：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  <w:t>2、公路工程：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土石方路基、高填方路基、挖石方路基、水泥稳定基层施工、沥青混泥土面层施工、涵洞施工等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3、建筑工程：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1）基础工程方面包括：土方工程，混凝土灌注桩浇注，地下连续墙，土钉墙，后浇带及其他结构混凝土，防水混凝土浇筑，卷材防水层细部构造处理，钢结构安装。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2）主体结构工程方面包括：梁柱节点钢筋隐蔽工程，混凝土浇注，预应力张拉，装配式结构安装，钢结构安装，网架结构安装，索膜安装。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3）其它方面包括：外墙外保温施工，脚手架安拆，大型机械设备安拆。</w:t>
            </w:r>
          </w:p>
          <w:p>
            <w:pPr>
              <w:pStyle w:val="2"/>
              <w:jc w:val="both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需要确认的过程（工序）：</w:t>
            </w:r>
          </w:p>
          <w:p>
            <w:pPr>
              <w:pStyle w:val="4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公路工程：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路面稳定基层混合料配合比控制、橡胶沥青现场制备过程控制、沥青混合料拌合参数控制、沥青混合料摊铺及碾压参数控制等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pStyle w:val="4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u w:val="single"/>
              </w:rPr>
              <w:t>市政道路：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路面稳定基层混合料配合比控制、橡胶沥青现场制备过程控制、沥青混合料拌合参数控制、沥青混合料摊铺及碾压参数控制等</w:t>
            </w:r>
          </w:p>
          <w:p>
            <w:pPr>
              <w:pStyle w:val="4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建筑工程：焊接、大体积混凝土浇筑、吊桩、钢结构防腐、防水工程等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确认的内容：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近一年顾客满意度的情况，2022年上半年阶段性检查98%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▇办公区域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▇在建项目现场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摊铺机、挖掘机、压路机、起重机、热熔焊机等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；水准仪、全站仪、钢卷尺、钢角尺、靠尺等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起重机械（租赁）；□压力容器；□压力管道；□锅炉；□电梯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auto"/>
                <w:szCs w:val="18"/>
              </w:rPr>
              <w:t>不适用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环境影响登记表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环境影响报告表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环境影响报告书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现有产量与环评的产能的对比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auto"/>
                <w:szCs w:val="18"/>
              </w:rPr>
              <w:t xml:space="preserve"> 环评的产能：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未超出产能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已</w:t>
            </w:r>
            <w:r>
              <w:rPr>
                <w:rFonts w:hint="eastAsia"/>
                <w:color w:val="auto"/>
                <w:szCs w:val="18"/>
              </w:rPr>
              <w:t>超出产能</w:t>
            </w:r>
            <w:r>
              <w:rPr>
                <w:rFonts w:hint="eastAsia"/>
                <w:color w:val="auto"/>
              </w:rPr>
              <w:t>，说明：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查看《排污许可证》</w:t>
            </w:r>
            <w:r>
              <w:rPr>
                <w:rFonts w:hint="eastAsia"/>
                <w:color w:val="auto"/>
                <w:szCs w:val="18"/>
              </w:rPr>
              <w:t>编号：不适用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 xml:space="preserve">年后新扩建的环评验收、环境监测报告）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进行应急演练，说明：2</w:t>
            </w:r>
            <w:r>
              <w:rPr>
                <w:color w:val="000000"/>
              </w:rPr>
              <w:t>022</w:t>
            </w:r>
            <w:r>
              <w:rPr>
                <w:rFonts w:hint="eastAsia"/>
                <w:color w:val="000000"/>
              </w:rPr>
              <w:t>年2月2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日进行了火灾消防演练；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-了解消防控制状况（消防备案或消防验收）——</w:t>
            </w:r>
            <w:r>
              <w:rPr>
                <w:rFonts w:hint="eastAsia"/>
                <w:color w:val="auto"/>
                <w:szCs w:val="18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  <w:highlight w:val="none"/>
              </w:rPr>
              <w:t>了解特种作业人员的状况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高压电工作业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低压电工作业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焊接与热切割作业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了解特种设备作业人员的状况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场内机动车辆（叉车）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szCs w:val="21"/>
                <w:highlight w:val="none"/>
              </w:rPr>
              <w:t>起重机械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《安全生产</w:t>
            </w:r>
            <w:r>
              <w:rPr>
                <w:color w:val="auto"/>
                <w:szCs w:val="18"/>
                <w:highlight w:val="none"/>
              </w:rPr>
              <w:t>许可证》</w:t>
            </w:r>
            <w:r>
              <w:rPr>
                <w:rFonts w:hint="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鄂）JZ安许证字（2017）017817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有效期：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年 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月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</w:rPr>
              <w:t>许可范围：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建筑工程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-查看合规性证明（作业场所有害物质监测报告、职业病体检报告） </w:t>
            </w:r>
            <w:r>
              <w:rPr>
                <w:rFonts w:hint="eastAsia"/>
                <w:color w:val="00B0F0"/>
                <w:szCs w:val="18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</w:t>
            </w:r>
            <w:r>
              <w:rPr>
                <w:color w:val="000000"/>
              </w:rPr>
              <w:t>022</w:t>
            </w:r>
            <w:r>
              <w:rPr>
                <w:rFonts w:hint="eastAsia"/>
                <w:color w:val="000000"/>
              </w:rPr>
              <w:t>年2月2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日进行了火灾消防演练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高压电工作业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低压电工作业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焊接与热切割作业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危险</w:t>
            </w:r>
            <w:r>
              <w:rPr>
                <w:rFonts w:hint="eastAsia"/>
                <w:color w:val="000000"/>
                <w:highlight w:val="none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烟花爆竹</w:t>
            </w:r>
            <w:r>
              <w:rPr>
                <w:rFonts w:hint="eastAsia"/>
                <w:color w:val="000000"/>
                <w:highlight w:val="none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压力容器（气瓶）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电梯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  <w:highlight w:val="none"/>
              </w:rPr>
              <w:t>客运索道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  <w:highlight w:val="none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宋体" w:hAnsi="宋体"/>
                <w:color w:val="000000"/>
                <w:highlight w:val="none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绝缘摇表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电梯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经营地址变更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bookmarkStart w:id="5" w:name="生产地址"/>
            <w:r>
              <w:rPr>
                <w:rFonts w:hint="eastAsia"/>
                <w:b/>
                <w:bCs/>
                <w:lang w:val="en-US" w:eastAsia="zh-CN"/>
              </w:rPr>
              <w:t>原经营地址：</w:t>
            </w:r>
            <w:r>
              <w:rPr>
                <w:b/>
                <w:bCs/>
              </w:rPr>
              <w:t>十堰经济技术开发区中观街马路村二组</w:t>
            </w:r>
            <w:bookmarkEnd w:id="5"/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变更后地址：</w:t>
            </w:r>
            <w:r>
              <w:rPr>
                <w:rFonts w:hint="eastAsia" w:ascii="宋体" w:hAnsi="宋体" w:cs="楷体"/>
                <w:b/>
                <w:bCs/>
                <w:color w:val="000000"/>
                <w:szCs w:val="21"/>
              </w:rPr>
              <w:t>十堰市天津路48号欣玺来酒店附属办公楼二楼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bookmarkStart w:id="6" w:name="_GoBack"/>
      <w:bookmarkEnd w:id="6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90B85"/>
    <w:multiLevelType w:val="singleLevel"/>
    <w:tmpl w:val="D2290B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36BF"/>
    <w:rsid w:val="003158E9"/>
    <w:rsid w:val="003522DA"/>
    <w:rsid w:val="003F6D2B"/>
    <w:rsid w:val="00443B8F"/>
    <w:rsid w:val="006C5375"/>
    <w:rsid w:val="007A4D21"/>
    <w:rsid w:val="007C6D5D"/>
    <w:rsid w:val="008E7E70"/>
    <w:rsid w:val="009B36BF"/>
    <w:rsid w:val="00D04833"/>
    <w:rsid w:val="00DA4E95"/>
    <w:rsid w:val="00FE08E1"/>
    <w:rsid w:val="170730AF"/>
    <w:rsid w:val="25FB53CE"/>
    <w:rsid w:val="2E487691"/>
    <w:rsid w:val="2EBF695D"/>
    <w:rsid w:val="64B51CE3"/>
    <w:rsid w:val="766A4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djustRightInd w:val="0"/>
      <w:spacing w:line="312" w:lineRule="atLeast"/>
      <w:jc w:val="righ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1594</Words>
  <Characters>9092</Characters>
  <Lines>75</Lines>
  <Paragraphs>21</Paragraphs>
  <ScaleCrop>false</ScaleCrop>
  <LinksUpToDate>false</LinksUpToDate>
  <CharactersWithSpaces>10665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2022-07-12T23:02:46Z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