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0846-2022-QJEO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692"/>
        <w:gridCol w:w="645"/>
        <w:gridCol w:w="330"/>
        <w:gridCol w:w="515"/>
        <w:gridCol w:w="855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湖北成群建设工程有限公司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张亮，周文廷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O:,EC:,E: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91420300MA48R6Y011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■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 GB/T 50430-2017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10.3</w:t>
            </w:r>
            <w:r>
              <w:rPr>
                <w:rFonts w:hint="eastAsia"/>
                <w:sz w:val="22"/>
                <w:szCs w:val="22"/>
              </w:rPr>
              <w:t xml:space="preserve">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O:45,EC:45,E:45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sz w:val="22"/>
                <w:szCs w:val="22"/>
              </w:rPr>
              <w:t>湖北成群建设工程有限公司</w:t>
            </w:r>
            <w:bookmarkEnd w:id="12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审核范围"/>
            <w:r>
              <w:rPr>
                <w:sz w:val="22"/>
                <w:szCs w:val="22"/>
              </w:rPr>
              <w:t>O：资质范围内的建筑工程施工总承包、公路工程施工总承包、市政工程施工总承包所涉及场所的相关职业健康安全管理活动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EC：资质范围内的建筑工程施工总承包、公路工程施工总承包、市政工程施工总承包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E：资质范围内的建筑工程施工总承包、公路工程施工总承包、市政工程施工总承包所涉及场所的相关环境管理活动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十堰经济技术开发区中观街马路村二组</w:t>
            </w:r>
            <w:bookmarkEnd w:id="14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十堰市天津路48号欣玺来酒店附属办公楼二楼</w:t>
            </w:r>
            <w:bookmarkEnd w:id="15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06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4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831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  <w:bookmarkStart w:id="16" w:name="_GoBack"/>
      <w:r>
        <w:drawing>
          <wp:inline distT="0" distB="0" distL="114300" distR="114300">
            <wp:extent cx="5073015" cy="6779895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3015" cy="6779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6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2785B"/>
    <w:rsid w:val="77EF2D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ScaleCrop>false</ScaleCrop>
  <LinksUpToDate>false</LinksUpToDate>
  <CharactersWithSpaces>2588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2022-07-13T03:50:03Z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