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0853-2022-E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湖北航天奔月新能源科技有限公司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湖北航天奔月新能源科技有限公司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武汉市江岸区新江岸五村189号二七工业园A区8栋</w:t>
            </w:r>
            <w:bookmarkEnd w:id="6"/>
          </w:p>
        </w:tc>
        <w:tc>
          <w:tcPr>
            <w:tcW w:w="1242" w:type="dxa"/>
            <w:vMerge w:val="restart"/>
            <w:vAlign w:val="center"/>
          </w:tcPr>
          <w:p>
            <w:r>
              <w:rPr>
                <w:rFonts w:hint="eastAsia"/>
              </w:rPr>
              <w:t>邮编</w:t>
            </w:r>
          </w:p>
        </w:tc>
        <w:tc>
          <w:tcPr>
            <w:tcW w:w="1771" w:type="dxa"/>
          </w:tcPr>
          <w:p>
            <w:bookmarkStart w:id="7" w:name="注册邮编"/>
            <w:r>
              <w:t>430014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武汉市江岸区新江岸五村189号二七工业园A区8栋</w:t>
            </w:r>
            <w:bookmarkEnd w:id="8"/>
          </w:p>
        </w:tc>
        <w:tc>
          <w:tcPr>
            <w:tcW w:w="1242" w:type="dxa"/>
            <w:vMerge w:val="continue"/>
            <w:vAlign w:val="center"/>
          </w:tcPr>
          <w:p/>
        </w:tc>
        <w:tc>
          <w:tcPr>
            <w:tcW w:w="1771" w:type="dxa"/>
          </w:tcPr>
          <w:p>
            <w:bookmarkStart w:id="9" w:name="办公邮编"/>
            <w:r>
              <w:t>430014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张超</w:t>
            </w:r>
            <w:bookmarkEnd w:id="10"/>
          </w:p>
        </w:tc>
        <w:tc>
          <w:tcPr>
            <w:tcW w:w="1313" w:type="dxa"/>
            <w:vAlign w:val="center"/>
          </w:tcPr>
          <w:p>
            <w:r>
              <w:rPr>
                <w:rFonts w:hint="eastAsia"/>
              </w:rPr>
              <w:t>电话.</w:t>
            </w:r>
          </w:p>
        </w:tc>
        <w:tc>
          <w:tcPr>
            <w:tcW w:w="2180" w:type="dxa"/>
            <w:vAlign w:val="center"/>
          </w:tcPr>
          <w:p>
            <w:bookmarkStart w:id="11" w:name="联系人电话"/>
            <w:r>
              <w:t>18507139966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殷昌云</w:t>
            </w:r>
            <w:bookmarkEnd w:id="13"/>
          </w:p>
        </w:tc>
        <w:tc>
          <w:tcPr>
            <w:tcW w:w="1313" w:type="dxa"/>
            <w:vAlign w:val="center"/>
          </w:tcPr>
          <w:p>
            <w:r>
              <w:rPr>
                <w:rFonts w:hint="eastAsia"/>
              </w:rPr>
              <w:t>管理者代表</w:t>
            </w:r>
          </w:p>
        </w:tc>
        <w:tc>
          <w:tcPr>
            <w:tcW w:w="2180" w:type="dxa"/>
          </w:tcPr>
          <w:p>
            <w:bookmarkStart w:id="14" w:name="管理者代表"/>
            <w:r>
              <w:t>张超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napToGrid w:val="0"/>
                <w:kern w:val="0"/>
                <w:sz w:val="24"/>
                <w:szCs w:val="22"/>
              </w:rPr>
              <w:t>合同评审---与客户签订合同---确定服务计划---提供技术服务---客户确认---交付后的售后服务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2022年07月0</w:t>
            </w:r>
            <w:r>
              <w:rPr>
                <w:rFonts w:hint="eastAsia"/>
                <w:lang w:val="en-US" w:eastAsia="zh-CN"/>
              </w:rPr>
              <w:t>5</w:t>
            </w:r>
            <w:r>
              <w:rPr>
                <w:rFonts w:hint="eastAsia"/>
              </w:rPr>
              <w:t>日 上午至2022年07月0</w:t>
            </w:r>
            <w:r>
              <w:rPr>
                <w:rFonts w:hint="eastAsia"/>
                <w:lang w:val="en-US" w:eastAsia="zh-CN"/>
              </w:rPr>
              <w:t>6</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太阳能热水器及配件的销售</w:t>
            </w:r>
            <w:bookmarkEnd w:id="29"/>
            <w:r>
              <w:rPr>
                <w:sz w:val="20"/>
              </w:rPr>
              <w:t>所涉及场所的相关环境管理活动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29.08.03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ascii="宋体" w:hAnsi="宋体" w:cs="宋体"/>
                <w:color w:val="000000"/>
                <w:kern w:val="0"/>
                <w:szCs w:val="21"/>
              </w:rPr>
              <w:t>湖北航天奔月新能源科技有限公司</w:t>
            </w:r>
            <w:r>
              <w:rPr>
                <w:rFonts w:hint="eastAsia" w:ascii="宋体" w:hAnsi="宋体" w:cs="宋体"/>
                <w:color w:val="000000"/>
                <w:kern w:val="0"/>
                <w:szCs w:val="21"/>
                <w:lang w:eastAsia="zh-CN"/>
              </w:rPr>
              <w:t>；</w:t>
            </w:r>
            <w:r>
              <w:rPr>
                <w:rFonts w:hint="eastAsia" w:ascii="宋体" w:hAnsi="宋体" w:cs="宋体"/>
                <w:color w:val="000000"/>
                <w:kern w:val="0"/>
                <w:szCs w:val="21"/>
              </w:rPr>
              <w:t>武汉市江岸区新江岸五村189号二七工业园A区8栋</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武汉市江岸区新江岸五村189号二七工业园A区8栋</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22</w:t>
            </w:r>
          </w:p>
        </w:tc>
        <w:tc>
          <w:tcPr>
            <w:tcW w:w="2803" w:type="dxa"/>
            <w:vAlign w:val="center"/>
          </w:tcPr>
          <w:p>
            <w:pPr>
              <w:pStyle w:val="21"/>
              <w:rPr>
                <w:rFonts w:ascii="Times New Roman" w:hAnsi="Times New Roman" w:eastAsia="黑体" w:cs="Arial"/>
                <w:kern w:val="2"/>
                <w:sz w:val="21"/>
                <w:szCs w:val="21"/>
                <w:lang w:val="en-US" w:eastAsia="ja-JP" w:bidi="ar-SA"/>
              </w:rPr>
            </w:pPr>
            <w:r>
              <w:rPr>
                <w:rFonts w:ascii="宋体" w:hAnsi="宋体" w:cs="宋体"/>
                <w:color w:val="000000"/>
                <w:kern w:val="0"/>
                <w:szCs w:val="21"/>
              </w:rPr>
              <w:t>太阳能热水器及配件的销售</w:t>
            </w:r>
            <w:r>
              <w:rPr>
                <w:sz w:val="20"/>
              </w:rPr>
              <w:t>所涉及场所的相关环境管理活动</w:t>
            </w:r>
            <w:bookmarkStart w:id="34" w:name="_GoBack"/>
            <w:bookmarkEnd w:id="34"/>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ascii="宋体" w:hAnsi="宋体" w:cs="宋体"/>
                <w:color w:val="000000"/>
                <w:kern w:val="0"/>
                <w:szCs w:val="21"/>
              </w:rPr>
              <w:t>GB/T 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Wingdings" w:hAnsi="Wingdings" w:eastAsia="宋体"/>
                    <w:color w:val="000000"/>
                    <w:sz w:val="21"/>
                    <w:szCs w:val="21"/>
                    <w:lang w:eastAsia="zh-CN"/>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2020-N1EMS-2226478</w:t>
            </w:r>
          </w:p>
        </w:tc>
        <w:tc>
          <w:tcPr>
            <w:tcW w:w="2179" w:type="dxa"/>
            <w:vAlign w:val="center"/>
          </w:tcPr>
          <w:p>
            <w:r>
              <w:t>29.08.03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114300" distR="114300" simplePos="0" relativeHeight="251662336" behindDoc="1" locked="0" layoutInCell="1" allowOverlap="1">
                  <wp:simplePos x="0" y="0"/>
                  <wp:positionH relativeFrom="column">
                    <wp:posOffset>1558925</wp:posOffset>
                  </wp:positionH>
                  <wp:positionV relativeFrom="page">
                    <wp:posOffset>8362315</wp:posOffset>
                  </wp:positionV>
                  <wp:extent cx="662940" cy="411480"/>
                  <wp:effectExtent l="0" t="0" r="7620" b="0"/>
                  <wp:wrapTight wrapText="bothSides">
                    <wp:wrapPolygon>
                      <wp:start x="13407" y="0"/>
                      <wp:lineTo x="0" y="4000"/>
                      <wp:lineTo x="0" y="20000"/>
                      <wp:lineTo x="993" y="20800"/>
                      <wp:lineTo x="6952" y="20800"/>
                      <wp:lineTo x="10428" y="20800"/>
                      <wp:lineTo x="21352" y="19200"/>
                      <wp:lineTo x="21352" y="17600"/>
                      <wp:lineTo x="17379" y="12800"/>
                      <wp:lineTo x="18372" y="5600"/>
                      <wp:lineTo x="16386" y="0"/>
                      <wp:lineTo x="13407" y="0"/>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6">
                            <a:clrChange>
                              <a:clrFrom>
                                <a:srgbClr val="CECAC7"/>
                              </a:clrFrom>
                              <a:clrTo>
                                <a:srgbClr val="CECAC7">
                                  <a:alpha val="0"/>
                                </a:srgbClr>
                              </a:clrTo>
                            </a:clrChange>
                          </a:blip>
                          <a:srcRect l="7346" t="10753" r="11560" b="11829"/>
                          <a:stretch>
                            <a:fillRect/>
                          </a:stretch>
                        </pic:blipFill>
                        <pic:spPr>
                          <a:xfrm>
                            <a:off x="0" y="0"/>
                            <a:ext cx="662940" cy="41148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rPr>
          <w:shd w:val="clear" w:color="FFFFFF" w:fill="D9D9D9"/>
        </w:rPr>
        <w:t>附</w:t>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t>□政治□监管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exact"/>
              <w:ind w:right="210"/>
              <w:rPr>
                <w:rFonts w:ascii="宋体" w:hAnsi="宋体" w:cs="宋体"/>
                <w:bCs/>
                <w:color w:val="000000"/>
                <w:sz w:val="24"/>
                <w:szCs w:val="24"/>
              </w:rPr>
            </w:pPr>
            <w:r>
              <w:rPr>
                <w:rFonts w:hint="eastAsia" w:ascii="宋体" w:hAnsi="宋体" w:cs="宋体"/>
                <w:bCs/>
                <w:color w:val="000000"/>
                <w:sz w:val="24"/>
                <w:szCs w:val="24"/>
              </w:rPr>
              <w:t>节能降耗，防治污染，保护环境；</w:t>
            </w:r>
          </w:p>
          <w:p>
            <w:pPr>
              <w:spacing w:line="360" w:lineRule="exact"/>
              <w:ind w:right="210"/>
              <w:rPr>
                <w:rFonts w:hint="eastAsia" w:ascii="宋体" w:hAnsi="宋体" w:cs="宋体"/>
                <w:bCs/>
                <w:color w:val="000000"/>
                <w:sz w:val="24"/>
                <w:szCs w:val="24"/>
              </w:rPr>
            </w:pPr>
            <w:r>
              <w:rPr>
                <w:rFonts w:hint="eastAsia" w:ascii="宋体" w:hAnsi="宋体" w:cs="宋体"/>
                <w:bCs/>
                <w:color w:val="000000"/>
                <w:sz w:val="24"/>
                <w:szCs w:val="24"/>
              </w:rPr>
              <w:t>全员参与，遵守法规，持续改进。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23"/>
                    <w:spacing w:line="240" w:lineRule="auto"/>
                    <w:rPr>
                      <w:rFonts w:hint="eastAsia" w:ascii="宋体" w:hAnsi="宋体" w:eastAsia="宋体"/>
                      <w:sz w:val="24"/>
                      <w:szCs w:val="24"/>
                      <w:lang w:val="en-US" w:eastAsia="zh-CN"/>
                    </w:rPr>
                  </w:pPr>
                  <w:r>
                    <w:rPr>
                      <w:rFonts w:hint="eastAsia" w:ascii="宋体" w:hAnsi="宋体" w:eastAsia="宋体"/>
                      <w:sz w:val="24"/>
                      <w:szCs w:val="24"/>
                    </w:rPr>
                    <w:t>随着社会和政府对环境问题的逐渐重视，公司内部的员工对环保意识也较高</w:t>
                  </w:r>
                  <w:r>
                    <w:rPr>
                      <w:rFonts w:hint="eastAsia" w:ascii="宋体" w:hAnsi="宋体" w:eastAsia="宋体"/>
                      <w:sz w:val="24"/>
                      <w:szCs w:val="24"/>
                      <w:lang w:val="en-US" w:eastAsia="zh-CN"/>
                    </w:rPr>
                    <w:t>。</w:t>
                  </w:r>
                </w:p>
                <w:p>
                  <w:pPr>
                    <w:shd w:val="clear" w:color="auto" w:fill="EBF1DE" w:themeFill="accent3" w:themeFillTint="32"/>
                  </w:pPr>
                </w:p>
              </w:tc>
              <w:tc>
                <w:tcPr>
                  <w:tcW w:w="3965" w:type="dxa"/>
                </w:tcPr>
                <w:p>
                  <w:pPr>
                    <w:pStyle w:val="23"/>
                    <w:numPr>
                      <w:ilvl w:val="0"/>
                      <w:numId w:val="0"/>
                    </w:num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公司员工环保意识的提高，使得公司各项安全环保工作便于开展</w:t>
                  </w:r>
                  <w:r>
                    <w:rPr>
                      <w:rFonts w:hint="eastAsia" w:ascii="宋体" w:hAnsi="宋体" w:eastAsia="宋体" w:cs="宋体"/>
                      <w:color w:val="000000"/>
                      <w:sz w:val="24"/>
                      <w:szCs w:val="24"/>
                      <w:lang w:eastAsia="zh-CN"/>
                    </w:rPr>
                    <w:t>。</w:t>
                  </w:r>
                </w:p>
                <w:p>
                  <w:pPr>
                    <w:shd w:val="clear" w:color="auto" w:fill="EBF1DE" w:themeFill="accent3" w:themeFillTint="32"/>
                  </w:pP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火灾事故为0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运行控制、应急预案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color w:val="000000"/>
                      <w:sz w:val="24"/>
                      <w:szCs w:val="24"/>
                    </w:rPr>
                    <w:t>固废处理率100%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运行控制</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EBF1DE" w:themeFill="accent3" w:themeFillTint="32"/>
              <w:rPr>
                <w:u w:val="single"/>
              </w:rPr>
            </w:pPr>
            <w:r>
              <w:rPr>
                <w:rFonts w:hint="eastAsia"/>
              </w:rPr>
              <w:t>主要环保设备有：</w:t>
            </w:r>
            <w:r>
              <w:rPr>
                <w:rFonts w:hint="eastAsia"/>
                <w:u w:val="single"/>
                <w:lang w:val="en-US" w:eastAsia="zh-CN"/>
              </w:rPr>
              <w:t>垃圾桶、灭火器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highlight w:val="yellow"/>
                      <w:lang w:val="en-US" w:eastAsia="zh-CN"/>
                    </w:rPr>
                    <w:t>管理方案、</w:t>
                  </w: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highlight w:val="yellow"/>
                      <w:lang w:val="en-US" w:eastAsia="zh-CN"/>
                    </w:rPr>
                    <w:t>管理方案</w:t>
                  </w:r>
                  <w:r>
                    <w:rPr>
                      <w:rFonts w:hint="eastAsia"/>
                      <w:lang w:val="en-US" w:eastAsia="zh-CN"/>
                    </w:rPr>
                    <w:t>、运行控制、应急预案</w:t>
                  </w:r>
                </w:p>
              </w:tc>
              <w:tc>
                <w:tcPr>
                  <w:tcW w:w="3265" w:type="dxa"/>
                </w:tcPr>
                <w:p>
                  <w:pPr>
                    <w:shd w:val="clear" w:color="auto" w:fill="EBF1DE" w:themeFill="accent3" w:themeFillTint="32"/>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highlight w:val="yellow"/>
                <w:lang w:val="en-US" w:eastAsia="zh-CN"/>
              </w:rPr>
            </w:pPr>
            <w:r>
              <w:rPr>
                <w:rFonts w:hint="eastAsia" w:ascii="Wingdings" w:hAnsi="Wingdings"/>
                <w:highlight w:val="yellow"/>
                <w:lang w:eastAsia="zh-CN"/>
              </w:rPr>
              <w:t>□</w:t>
            </w:r>
            <w:r>
              <w:rPr>
                <w:rFonts w:hint="eastAsia"/>
                <w:highlight w:val="yellow"/>
              </w:rPr>
              <w:t>定期（每年）：年月日</w:t>
            </w:r>
            <w:r>
              <w:rPr>
                <w:rFonts w:hint="eastAsia"/>
                <w:highlight w:val="yellow"/>
                <w:lang w:eastAsia="zh-CN"/>
              </w:rPr>
              <w:t>——</w:t>
            </w:r>
            <w:r>
              <w:rPr>
                <w:rFonts w:hint="eastAsia"/>
                <w:highlight w:val="yellow"/>
                <w:lang w:val="en-US" w:eastAsia="zh-CN"/>
              </w:rPr>
              <w:t>与2022.7.16.进行不符合整改</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w:t>
            </w:r>
            <w:r>
              <w:rPr>
                <w:rFonts w:hint="eastAsia"/>
                <w:highlight w:val="none"/>
              </w:rPr>
              <w:t>间间隔，在</w:t>
            </w:r>
            <w:r>
              <w:rPr>
                <w:rFonts w:hint="eastAsia"/>
                <w:highlight w:val="none"/>
                <w:lang w:val="en-US" w:eastAsia="zh-CN"/>
              </w:rPr>
              <w:t>2022</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15</w:t>
            </w:r>
            <w:r>
              <w:rPr>
                <w:rFonts w:hint="eastAsia"/>
                <w:highlight w:val="none"/>
              </w:rPr>
              <w:t>日对组</w:t>
            </w:r>
            <w:r>
              <w:rPr>
                <w:rFonts w:hint="eastAsia"/>
              </w:rPr>
              <w:t>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3NDJhNGRkNmZiZjA2OTg3ZjZiMDhkODZkNmNlMjcifQ=="/>
  </w:docVars>
  <w:rsids>
    <w:rsidRoot w:val="00000000"/>
    <w:rsid w:val="005044D0"/>
    <w:rsid w:val="06E34B85"/>
    <w:rsid w:val="07862515"/>
    <w:rsid w:val="079F34F3"/>
    <w:rsid w:val="08D21A4E"/>
    <w:rsid w:val="0B3F67D9"/>
    <w:rsid w:val="0E7C584F"/>
    <w:rsid w:val="10FA459F"/>
    <w:rsid w:val="11050ACA"/>
    <w:rsid w:val="11AD25E2"/>
    <w:rsid w:val="13F30A56"/>
    <w:rsid w:val="14F577C1"/>
    <w:rsid w:val="15C8228E"/>
    <w:rsid w:val="169F4C98"/>
    <w:rsid w:val="190C5EC1"/>
    <w:rsid w:val="190E3C9E"/>
    <w:rsid w:val="19404D95"/>
    <w:rsid w:val="1954108D"/>
    <w:rsid w:val="196B10D8"/>
    <w:rsid w:val="1A7D5B75"/>
    <w:rsid w:val="1F897F21"/>
    <w:rsid w:val="2354270C"/>
    <w:rsid w:val="240B26D4"/>
    <w:rsid w:val="26F4556F"/>
    <w:rsid w:val="271C004E"/>
    <w:rsid w:val="28B6000A"/>
    <w:rsid w:val="2D151D49"/>
    <w:rsid w:val="301B4125"/>
    <w:rsid w:val="32B6195B"/>
    <w:rsid w:val="32DD31FD"/>
    <w:rsid w:val="33C7290E"/>
    <w:rsid w:val="36545C9A"/>
    <w:rsid w:val="368A701A"/>
    <w:rsid w:val="36E06F2D"/>
    <w:rsid w:val="39BD701C"/>
    <w:rsid w:val="3A164AB8"/>
    <w:rsid w:val="3DD604C0"/>
    <w:rsid w:val="3E226E27"/>
    <w:rsid w:val="3FDD0583"/>
    <w:rsid w:val="43CF2D57"/>
    <w:rsid w:val="451264A4"/>
    <w:rsid w:val="47343F9D"/>
    <w:rsid w:val="47AD2D46"/>
    <w:rsid w:val="4AB53B79"/>
    <w:rsid w:val="4B2F0592"/>
    <w:rsid w:val="520B7076"/>
    <w:rsid w:val="538F430D"/>
    <w:rsid w:val="53B92CAE"/>
    <w:rsid w:val="56FF772E"/>
    <w:rsid w:val="5EBF2D29"/>
    <w:rsid w:val="614757BD"/>
    <w:rsid w:val="62004E6D"/>
    <w:rsid w:val="66BC37E2"/>
    <w:rsid w:val="68D04D24"/>
    <w:rsid w:val="6DF77990"/>
    <w:rsid w:val="6E1F5E9D"/>
    <w:rsid w:val="70501C8B"/>
    <w:rsid w:val="74161FD7"/>
    <w:rsid w:val="75970A0E"/>
    <w:rsid w:val="76CB21D0"/>
    <w:rsid w:val="77BF5FFA"/>
    <w:rsid w:val="793C1EC6"/>
    <w:rsid w:val="7CD60D99"/>
    <w:rsid w:val="7F223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jc w:val="left"/>
    </w:pPr>
    <w:rPr>
      <w:rFonts w:ascii="Times New Roman" w:hAnsi="Times New Roman" w:eastAsia="宋体" w:cs="Times New Roman"/>
      <w:sz w:val="24"/>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8434</Words>
  <Characters>8972</Characters>
  <Lines>150</Lines>
  <Paragraphs>42</Paragraphs>
  <TotalTime>0</TotalTime>
  <ScaleCrop>false</ScaleCrop>
  <LinksUpToDate>false</LinksUpToDate>
  <CharactersWithSpaces>9054</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2022-08-05T00:48:08Z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2052-11.1.0.12300</vt:lpwstr>
  </property>
</Properties>
</file>