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财务部；</w:t>
            </w:r>
            <w:r>
              <w:rPr>
                <w:rFonts w:hint="eastAsia"/>
                <w:sz w:val="24"/>
                <w:szCs w:val="24"/>
              </w:rPr>
              <w:t>主管领导：</w:t>
            </w:r>
            <w:bookmarkStart w:id="0" w:name="管理者代表"/>
            <w:r>
              <w:rPr>
                <w:rFonts w:hint="eastAsia"/>
                <w:sz w:val="24"/>
                <w:szCs w:val="24"/>
              </w:rPr>
              <w:t>张超</w:t>
            </w:r>
            <w:bookmarkEnd w:id="0"/>
            <w:r>
              <w:rPr>
                <w:rFonts w:hint="eastAsia"/>
                <w:sz w:val="24"/>
                <w:szCs w:val="24"/>
                <w:lang w:eastAsia="zh-CN"/>
              </w:rPr>
              <w:t>；</w:t>
            </w:r>
            <w:r>
              <w:rPr>
                <w:rFonts w:hint="eastAsia"/>
                <w:sz w:val="24"/>
                <w:szCs w:val="24"/>
              </w:rPr>
              <w:t>陪同人员：</w:t>
            </w:r>
            <w:r>
              <w:rPr>
                <w:rFonts w:hint="eastAsia"/>
                <w:sz w:val="24"/>
                <w:szCs w:val="24"/>
                <w:lang w:val="en-US" w:eastAsia="zh-CN"/>
              </w:rPr>
              <w:t>杨洁</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1" w:name="审核组成员不含组长"/>
            <w:bookmarkEnd w:id="1"/>
            <w:r>
              <w:rPr>
                <w:rFonts w:hint="eastAsia"/>
                <w:sz w:val="24"/>
                <w:szCs w:val="24"/>
                <w:lang w:val="en-US" w:eastAsia="zh-CN"/>
              </w:rPr>
              <w:t>周文；</w:t>
            </w:r>
            <w:r>
              <w:rPr>
                <w:rFonts w:hint="eastAsia"/>
                <w:sz w:val="24"/>
                <w:szCs w:val="24"/>
              </w:rPr>
              <w:t>审核时间：</w:t>
            </w:r>
            <w:bookmarkStart w:id="2" w:name="审核日期"/>
            <w:r>
              <w:t>2022年07月0</w:t>
            </w:r>
            <w:r>
              <w:rPr>
                <w:rFonts w:hint="eastAsia"/>
                <w:lang w:val="en-US" w:eastAsia="zh-CN"/>
              </w:rPr>
              <w:t>6</w:t>
            </w:r>
            <w:r>
              <w:t xml:space="preserve">日 </w:t>
            </w:r>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rPr>
            </w:pPr>
            <w:r>
              <w:rPr>
                <w:rFonts w:hint="eastAsia"/>
              </w:rPr>
              <w:t>审核条款：</w:t>
            </w:r>
          </w:p>
          <w:p>
            <w:pPr>
              <w:pStyle w:val="3"/>
              <w:rPr>
                <w:rFonts w:hint="eastAsia"/>
                <w:sz w:val="21"/>
                <w:szCs w:val="21"/>
                <w:lang w:val="en-US" w:eastAsia="zh-CN"/>
              </w:rPr>
            </w:pPr>
            <w:r>
              <w:rPr>
                <w:rFonts w:hint="eastAsia"/>
                <w:sz w:val="21"/>
                <w:szCs w:val="21"/>
              </w:rPr>
              <w:t xml:space="preserve">EMS: </w:t>
            </w:r>
            <w:r>
              <w:rPr>
                <w:rFonts w:hint="eastAsia"/>
                <w:sz w:val="21"/>
                <w:szCs w:val="21"/>
                <w:lang w:val="en-US" w:eastAsia="zh-CN"/>
              </w:rPr>
              <w:t>5.3/6.1.2/6.2/8.1/8.2</w:t>
            </w:r>
          </w:p>
          <w:p>
            <w:pPr>
              <w:pStyle w:val="3"/>
            </w:pPr>
            <w:r>
              <w:rPr>
                <w:rFonts w:hint="eastAsia" w:ascii="宋体" w:hAnsi="宋体"/>
                <w:color w:val="000000"/>
                <w:szCs w:val="21"/>
              </w:rPr>
              <w:t>组织的岗位、职责和权限</w:t>
            </w:r>
            <w:r>
              <w:rPr>
                <w:rFonts w:hint="eastAsia" w:ascii="宋体" w:hAnsi="宋体"/>
                <w:color w:val="000000"/>
                <w:szCs w:val="21"/>
                <w:lang w:eastAsia="zh-CN"/>
              </w:rPr>
              <w:t>、</w:t>
            </w:r>
            <w:r>
              <w:rPr>
                <w:rFonts w:hint="eastAsia" w:ascii="宋体" w:hAnsi="宋体"/>
                <w:color w:val="000000"/>
                <w:szCs w:val="21"/>
              </w:rPr>
              <w:t>环境因素</w:t>
            </w:r>
            <w:r>
              <w:rPr>
                <w:rFonts w:hint="eastAsia" w:ascii="宋体" w:hAnsi="宋体"/>
                <w:color w:val="000000"/>
                <w:szCs w:val="21"/>
                <w:lang w:eastAsia="zh-CN"/>
              </w:rPr>
              <w:t>、</w:t>
            </w:r>
            <w:r>
              <w:rPr>
                <w:rFonts w:hint="eastAsia" w:ascii="宋体" w:hAnsi="宋体"/>
                <w:color w:val="000000"/>
                <w:szCs w:val="21"/>
              </w:rPr>
              <w:t>环境目标及其实现的策划</w:t>
            </w:r>
            <w:r>
              <w:rPr>
                <w:rFonts w:hint="eastAsia" w:ascii="宋体" w:hAnsi="宋体"/>
                <w:color w:val="000000"/>
                <w:szCs w:val="21"/>
                <w:lang w:eastAsia="zh-CN"/>
              </w:rPr>
              <w:t>、</w:t>
            </w:r>
            <w:r>
              <w:rPr>
                <w:rFonts w:hint="eastAsia" w:ascii="宋体" w:hAnsi="宋体"/>
                <w:color w:val="000000"/>
                <w:szCs w:val="21"/>
              </w:rPr>
              <w:t>运行策划和控制</w:t>
            </w:r>
            <w:r>
              <w:rPr>
                <w:rFonts w:hint="eastAsia" w:ascii="宋体" w:hAnsi="宋体"/>
                <w:color w:val="000000"/>
                <w:szCs w:val="21"/>
                <w:lang w:eastAsia="zh-CN"/>
              </w:rPr>
              <w:t>、</w:t>
            </w:r>
            <w:r>
              <w:rPr>
                <w:rFonts w:hint="eastAsia" w:ascii="宋体" w:hAnsi="宋体"/>
                <w:color w:val="000000"/>
                <w:szCs w:val="21"/>
              </w:rPr>
              <w:t>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Times New Roman" w:hAnsi="Times New Roman" w:eastAsia="宋体" w:cs="Times New Roman"/>
                <w:kern w:val="2"/>
                <w:sz w:val="21"/>
                <w:lang w:val="en-US" w:eastAsia="zh-CN" w:bidi="ar-SA"/>
              </w:rPr>
            </w:pPr>
            <w:r>
              <w:rPr>
                <w:rFonts w:hint="eastAsia"/>
                <w:sz w:val="24"/>
                <w:szCs w:val="24"/>
                <w:lang w:val="en-US" w:eastAsia="zh-CN"/>
              </w:rPr>
              <w:t>权责分配</w:t>
            </w:r>
          </w:p>
        </w:tc>
        <w:tc>
          <w:tcPr>
            <w:tcW w:w="96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E5.3</w:t>
            </w:r>
          </w:p>
        </w:tc>
        <w:tc>
          <w:tcPr>
            <w:tcW w:w="10004" w:type="dxa"/>
            <w:vAlign w:val="top"/>
          </w:tcPr>
          <w:p>
            <w:pPr>
              <w:adjustRightInd w:val="0"/>
              <w:snapToGrid w:val="0"/>
              <w:spacing w:before="156" w:beforeLines="50" w:line="360" w:lineRule="auto"/>
              <w:ind w:right="-45" w:firstLine="315" w:firstLineChars="150"/>
              <w:rPr>
                <w:rFonts w:hint="default" w:ascii="Times New Roman" w:hAnsi="Times New Roman" w:eastAsia="宋体" w:cs="Times New Roman"/>
                <w:sz w:val="24"/>
                <w:szCs w:val="24"/>
                <w:lang w:val="en-US" w:eastAsia="zh-CN"/>
              </w:rPr>
            </w:pPr>
            <w:r>
              <w:rPr>
                <w:rFonts w:hint="eastAsia"/>
                <w:lang w:val="en-US" w:eastAsia="zh-CN"/>
              </w:rPr>
              <w:t>---</w:t>
            </w:r>
            <w:r>
              <w:rPr>
                <w:rFonts w:hint="eastAsia" w:ascii="Times New Roman" w:hAnsi="Times New Roman" w:eastAsia="宋体" w:cs="Times New Roman"/>
                <w:sz w:val="24"/>
                <w:szCs w:val="24"/>
                <w:lang w:val="en-US" w:eastAsia="zh-CN"/>
              </w:rPr>
              <w:t>查“管理手册”</w:t>
            </w:r>
            <w:r>
              <w:rPr>
                <w:rFonts w:hint="eastAsia" w:ascii="宋体" w:hAnsi="宋体"/>
                <w:snapToGrid w:val="0"/>
                <w:kern w:val="0"/>
                <w:sz w:val="24"/>
                <w:szCs w:val="22"/>
              </w:rPr>
              <w:t>5.3.7财务部</w:t>
            </w:r>
            <w:r>
              <w:rPr>
                <w:rFonts w:hint="eastAsia" w:ascii="Times New Roman" w:hAnsi="Times New Roman" w:eastAsia="宋体" w:cs="Times New Roman"/>
                <w:sz w:val="24"/>
                <w:szCs w:val="24"/>
                <w:lang w:val="en-US" w:eastAsia="zh-CN"/>
              </w:rPr>
              <w:t>的内容,</w:t>
            </w:r>
          </w:p>
          <w:p>
            <w:pPr>
              <w:spacing w:line="360" w:lineRule="auto"/>
              <w:ind w:right="-43" w:firstLine="720" w:firstLineChars="300"/>
              <w:rPr>
                <w:rFonts w:hint="eastAsia" w:ascii="宋体" w:hAnsi="宋体"/>
                <w:snapToGrid w:val="0"/>
                <w:kern w:val="0"/>
                <w:sz w:val="24"/>
                <w:szCs w:val="22"/>
              </w:rPr>
            </w:pPr>
            <w:r>
              <w:rPr>
                <w:rFonts w:hint="eastAsia" w:ascii="宋体" w:hAnsi="宋体"/>
                <w:snapToGrid w:val="0"/>
                <w:kern w:val="0"/>
                <w:sz w:val="24"/>
                <w:szCs w:val="22"/>
              </w:rPr>
              <w:t>a）负责公司的财务管理工作；</w:t>
            </w:r>
          </w:p>
          <w:p>
            <w:pPr>
              <w:spacing w:line="360" w:lineRule="auto"/>
              <w:ind w:right="-43" w:firstLine="720" w:firstLineChars="300"/>
              <w:rPr>
                <w:rFonts w:hint="eastAsia" w:ascii="宋体" w:hAnsi="宋体"/>
                <w:snapToGrid w:val="0"/>
                <w:kern w:val="0"/>
                <w:sz w:val="24"/>
                <w:szCs w:val="22"/>
              </w:rPr>
            </w:pPr>
            <w:r>
              <w:rPr>
                <w:rFonts w:ascii="宋体" w:hAnsi="宋体"/>
                <w:snapToGrid w:val="0"/>
                <w:kern w:val="0"/>
                <w:sz w:val="24"/>
                <w:szCs w:val="22"/>
              </w:rPr>
              <w:t>b</w:t>
            </w:r>
            <w:r>
              <w:rPr>
                <w:rFonts w:hint="eastAsia" w:ascii="宋体" w:hAnsi="宋体"/>
                <w:snapToGrid w:val="0"/>
                <w:kern w:val="0"/>
                <w:sz w:val="24"/>
                <w:szCs w:val="22"/>
              </w:rPr>
              <w:t>）根据需要及轻重缓急，进行综合分析，确保资源、能源的合理利用，优化成本；</w:t>
            </w:r>
          </w:p>
          <w:p>
            <w:pPr>
              <w:spacing w:line="360" w:lineRule="auto"/>
              <w:ind w:right="-43" w:firstLine="720" w:firstLineChars="300"/>
              <w:rPr>
                <w:rFonts w:hint="eastAsia" w:ascii="宋体" w:hAnsi="宋体"/>
                <w:snapToGrid w:val="0"/>
                <w:kern w:val="0"/>
                <w:sz w:val="24"/>
                <w:szCs w:val="22"/>
              </w:rPr>
            </w:pPr>
            <w:r>
              <w:rPr>
                <w:rFonts w:ascii="宋体" w:hAnsi="宋体"/>
                <w:snapToGrid w:val="0"/>
                <w:kern w:val="0"/>
                <w:sz w:val="24"/>
                <w:szCs w:val="22"/>
              </w:rPr>
              <w:t>c</w:t>
            </w:r>
            <w:r>
              <w:rPr>
                <w:rFonts w:hint="eastAsia" w:ascii="宋体" w:hAnsi="宋体"/>
                <w:snapToGrid w:val="0"/>
                <w:kern w:val="0"/>
                <w:sz w:val="24"/>
                <w:szCs w:val="22"/>
              </w:rPr>
              <w:t>） 负责确保环境管理体系所需预算资金的投入；</w:t>
            </w:r>
          </w:p>
          <w:p>
            <w:pPr>
              <w:spacing w:line="360" w:lineRule="auto"/>
              <w:ind w:right="-43" w:firstLine="720" w:firstLineChars="300"/>
              <w:rPr>
                <w:rFonts w:hint="eastAsia" w:ascii="宋体" w:hAnsi="宋体"/>
                <w:snapToGrid w:val="0"/>
                <w:kern w:val="0"/>
                <w:sz w:val="24"/>
                <w:szCs w:val="22"/>
              </w:rPr>
            </w:pPr>
            <w:r>
              <w:rPr>
                <w:rFonts w:ascii="宋体" w:hAnsi="宋体"/>
                <w:snapToGrid w:val="0"/>
                <w:kern w:val="0"/>
                <w:sz w:val="24"/>
                <w:szCs w:val="22"/>
              </w:rPr>
              <w:t>d</w:t>
            </w:r>
            <w:r>
              <w:rPr>
                <w:rFonts w:hint="eastAsia" w:ascii="宋体" w:hAnsi="宋体"/>
                <w:snapToGrid w:val="0"/>
                <w:kern w:val="0"/>
                <w:sz w:val="24"/>
                <w:szCs w:val="22"/>
              </w:rPr>
              <w:t>） 负责本部门内外部环境分析与评价，定期向主控部门汇报结果。</w:t>
            </w:r>
          </w:p>
          <w:p>
            <w:pP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 w:val="24"/>
                <w:szCs w:val="24"/>
                <w:lang w:val="en-US" w:eastAsia="zh-CN"/>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ascii="Times New Roman" w:hAnsi="Times New Roman" w:eastAsia="宋体" w:cs="Times New Roman"/>
                <w:kern w:val="2"/>
                <w:sz w:val="21"/>
                <w:lang w:val="en-US" w:eastAsia="zh-CN" w:bidi="ar-SA"/>
              </w:rPr>
            </w:pPr>
            <w:r>
              <w:rPr>
                <w:rFonts w:hint="eastAsia"/>
                <w:sz w:val="24"/>
                <w:szCs w:val="24"/>
                <w:lang w:val="en-US" w:eastAsia="zh-CN"/>
              </w:rPr>
              <w:t>目标管理</w:t>
            </w:r>
          </w:p>
        </w:tc>
        <w:tc>
          <w:tcPr>
            <w:tcW w:w="96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E6.2</w:t>
            </w:r>
          </w:p>
        </w:tc>
        <w:tc>
          <w:tcPr>
            <w:tcW w:w="10004" w:type="dxa"/>
            <w:vAlign w:val="top"/>
          </w:tcPr>
          <w:p>
            <w:pPr>
              <w:spacing w:line="240" w:lineRule="auto"/>
              <w:jc w:val="left"/>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---查“环境目标完成统计表”，编号：HTBY-JL-16；内容显示2021年，部门目标已达成。具体如下：</w:t>
            </w:r>
          </w:p>
          <w:p>
            <w:pPr>
              <w:pStyle w:val="14"/>
              <w:rPr>
                <w:rFonts w:hint="default" w:ascii="仿宋_GB2312" w:hAnsi="宋体" w:eastAsia="仿宋_GB2312"/>
                <w:sz w:val="24"/>
                <w:lang w:val="en-US" w:eastAsia="zh-CN"/>
              </w:rPr>
            </w:pPr>
            <w:r>
              <w:rPr>
                <w:rFonts w:hint="default" w:ascii="仿宋_GB2312" w:hAnsi="宋体" w:eastAsia="仿宋_GB2312"/>
                <w:sz w:val="24"/>
                <w:lang w:val="en-US" w:eastAsia="zh-CN"/>
              </w:rPr>
              <w:t>财务部</w:t>
            </w:r>
            <w:r>
              <w:rPr>
                <w:rFonts w:hint="default" w:ascii="仿宋_GB2312" w:hAnsi="宋体" w:eastAsia="仿宋_GB2312"/>
                <w:sz w:val="24"/>
                <w:lang w:val="en-US" w:eastAsia="zh-CN"/>
              </w:rPr>
              <w:tab/>
            </w:r>
          </w:p>
          <w:p>
            <w:pPr>
              <w:pStyle w:val="14"/>
              <w:rPr>
                <w:rFonts w:hint="default" w:ascii="仿宋_GB2312" w:hAnsi="宋体" w:eastAsia="仿宋_GB2312"/>
                <w:sz w:val="24"/>
                <w:lang w:val="en-US" w:eastAsia="zh-CN"/>
              </w:rPr>
            </w:pPr>
            <w:r>
              <w:rPr>
                <w:rFonts w:hint="default" w:ascii="仿宋_GB2312" w:hAnsi="宋体" w:eastAsia="仿宋_GB2312"/>
                <w:sz w:val="24"/>
                <w:lang w:val="en-US" w:eastAsia="zh-CN"/>
              </w:rPr>
              <w:t>固废处理率</w:t>
            </w:r>
            <w:r>
              <w:rPr>
                <w:rFonts w:hint="default" w:ascii="仿宋_GB2312" w:hAnsi="宋体" w:eastAsia="仿宋_GB2312"/>
                <w:sz w:val="24"/>
                <w:lang w:val="en-US" w:eastAsia="zh-CN"/>
              </w:rPr>
              <w:tab/>
            </w:r>
            <w:r>
              <w:rPr>
                <w:rFonts w:hint="default" w:ascii="仿宋_GB2312" w:hAnsi="宋体" w:eastAsia="仿宋_GB2312"/>
                <w:sz w:val="24"/>
                <w:lang w:val="en-US" w:eastAsia="zh-CN"/>
              </w:rPr>
              <w:t>100%</w:t>
            </w:r>
            <w:r>
              <w:rPr>
                <w:rFonts w:hint="default" w:ascii="仿宋_GB2312" w:hAnsi="宋体" w:eastAsia="仿宋_GB2312"/>
                <w:sz w:val="24"/>
                <w:lang w:val="en-US" w:eastAsia="zh-CN"/>
              </w:rPr>
              <w:tab/>
            </w:r>
            <w:r>
              <w:rPr>
                <w:rFonts w:hint="default" w:ascii="仿宋_GB2312" w:hAnsi="宋体" w:eastAsia="仿宋_GB2312"/>
                <w:sz w:val="24"/>
                <w:lang w:val="en-US" w:eastAsia="zh-CN"/>
              </w:rPr>
              <w:t>固废处理数/固废总数*100%</w:t>
            </w:r>
          </w:p>
          <w:p>
            <w:pPr>
              <w:pStyle w:val="14"/>
              <w:rPr>
                <w:rFonts w:hint="default" w:ascii="仿宋_GB2312" w:hAnsi="宋体" w:eastAsia="仿宋_GB2312"/>
                <w:sz w:val="24"/>
                <w:lang w:val="en-US" w:eastAsia="zh-CN"/>
              </w:rPr>
            </w:pPr>
            <w:r>
              <w:rPr>
                <w:rFonts w:hint="default" w:ascii="仿宋_GB2312" w:hAnsi="宋体" w:eastAsia="仿宋_GB2312"/>
                <w:sz w:val="24"/>
                <w:lang w:val="en-US" w:eastAsia="zh-CN"/>
              </w:rPr>
              <w:t>火灾事故</w:t>
            </w:r>
            <w:r>
              <w:rPr>
                <w:rFonts w:hint="default" w:ascii="仿宋_GB2312" w:hAnsi="宋体" w:eastAsia="仿宋_GB2312"/>
                <w:sz w:val="24"/>
                <w:lang w:val="en-US" w:eastAsia="zh-CN"/>
              </w:rPr>
              <w:tab/>
            </w:r>
            <w:r>
              <w:rPr>
                <w:rFonts w:hint="default" w:ascii="仿宋_GB2312" w:hAnsi="宋体" w:eastAsia="仿宋_GB2312"/>
                <w:sz w:val="24"/>
                <w:lang w:val="en-US" w:eastAsia="zh-CN"/>
              </w:rPr>
              <w:t>0</w:t>
            </w:r>
            <w:r>
              <w:rPr>
                <w:rFonts w:hint="default" w:ascii="仿宋_GB2312" w:hAnsi="宋体" w:eastAsia="仿宋_GB2312"/>
                <w:sz w:val="24"/>
                <w:lang w:val="en-US" w:eastAsia="zh-CN"/>
              </w:rPr>
              <w:tab/>
            </w:r>
            <w:r>
              <w:rPr>
                <w:rFonts w:hint="default" w:ascii="仿宋_GB2312" w:hAnsi="宋体" w:eastAsia="仿宋_GB2312"/>
                <w:sz w:val="24"/>
                <w:lang w:val="en-US" w:eastAsia="zh-CN"/>
              </w:rPr>
              <w:t>以实际发生统计</w:t>
            </w:r>
          </w:p>
          <w:p>
            <w:pPr>
              <w:pStyle w:val="14"/>
              <w:rPr>
                <w:rFonts w:hint="eastAsia" w:cs="Times New Roman"/>
                <w:sz w:val="24"/>
                <w:szCs w:val="24"/>
                <w:lang w:val="en-US" w:eastAsia="zh-CN"/>
              </w:rPr>
            </w:pPr>
            <w:r>
              <w:rPr>
                <w:rFonts w:hint="eastAsia" w:ascii="Times New Roman" w:hAnsi="Times New Roman" w:eastAsia="宋体" w:cs="Times New Roman"/>
                <w:sz w:val="24"/>
                <w:szCs w:val="24"/>
                <w:lang w:val="en-US" w:eastAsia="zh-CN"/>
              </w:rPr>
              <w:t>查“</w:t>
            </w:r>
            <w:r>
              <w:rPr>
                <w:rFonts w:hint="eastAsia" w:ascii="Times New Roman" w:hAnsi="Times New Roman" w:eastAsia="宋体" w:cs="Times New Roman"/>
                <w:sz w:val="24"/>
                <w:szCs w:val="24"/>
              </w:rPr>
              <w:t>管理手册</w:t>
            </w:r>
            <w:r>
              <w:rPr>
                <w:rFonts w:hint="eastAsia" w:ascii="宋体" w:hAnsi="宋体"/>
                <w:b/>
                <w:bCs/>
                <w:sz w:val="30"/>
                <w:szCs w:val="30"/>
              </w:rPr>
              <w:t>0.4</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条款，</w:t>
            </w:r>
            <w:r>
              <w:rPr>
                <w:rFonts w:hint="eastAsia" w:cs="Times New Roman"/>
                <w:sz w:val="24"/>
                <w:szCs w:val="24"/>
                <w:lang w:val="en-US" w:eastAsia="zh-CN"/>
              </w:rPr>
              <w:t>环境目标由综合部负责监督每年统计一次（必要时可临时进行统计），对于未完成的应采取纠正措施。</w:t>
            </w:r>
          </w:p>
          <w:p>
            <w:pPr>
              <w:pStyle w:val="14"/>
              <w:rPr>
                <w:rFonts w:hint="eastAsia" w:cs="Times New Roman"/>
                <w:sz w:val="24"/>
                <w:szCs w:val="24"/>
                <w:lang w:val="en-US" w:eastAsia="zh-CN"/>
              </w:rPr>
            </w:pPr>
          </w:p>
          <w:p>
            <w:pPr>
              <w:pStyle w:val="14"/>
              <w:rPr>
                <w:rFonts w:hint="default"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sz w:val="24"/>
                <w:szCs w:val="24"/>
                <w:lang w:val="en-US" w:eastAsia="zh-CN"/>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sz w:val="24"/>
                <w:szCs w:val="24"/>
              </w:rPr>
              <w:t>环境因素</w:t>
            </w:r>
            <w:r>
              <w:rPr>
                <w:rFonts w:hint="eastAsia"/>
                <w:sz w:val="24"/>
                <w:szCs w:val="24"/>
                <w:lang w:val="en-US" w:eastAsia="zh-CN"/>
              </w:rPr>
              <w:t>识别、评价</w:t>
            </w:r>
          </w:p>
        </w:tc>
        <w:tc>
          <w:tcPr>
            <w:tcW w:w="96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E6.1.2</w:t>
            </w:r>
          </w:p>
        </w:tc>
        <w:tc>
          <w:tcPr>
            <w:tcW w:w="10004" w:type="dxa"/>
            <w:vAlign w:val="top"/>
          </w:tcPr>
          <w:p>
            <w:pPr>
              <w:spacing w:line="240" w:lineRule="auto"/>
              <w:jc w:val="left"/>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---制订有《环境因素识别与评价控制程序》策划有运行准则，本部门主控。</w:t>
            </w:r>
          </w:p>
          <w:p>
            <w:pPr>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---查“环境影响综合评价表”，采用环境因素综合打分法共识别各部门及相关方及产品运输过程的环境因素29项。抽财务部：</w:t>
            </w:r>
          </w:p>
          <w:p>
            <w:pPr>
              <w:pStyle w:val="14"/>
            </w:pPr>
            <w:r>
              <w:drawing>
                <wp:inline distT="0" distB="0" distL="114300" distR="114300">
                  <wp:extent cx="5966460" cy="284988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966460" cy="2849880"/>
                          </a:xfrm>
                          <a:prstGeom prst="rect">
                            <a:avLst/>
                          </a:prstGeom>
                          <a:noFill/>
                          <a:ln>
                            <a:noFill/>
                          </a:ln>
                        </pic:spPr>
                      </pic:pic>
                    </a:graphicData>
                  </a:graphic>
                </wp:inline>
              </w:drawing>
            </w:r>
          </w:p>
          <w:p>
            <w:pP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---查“重要环境因素清单”，</w:t>
            </w:r>
            <w:r>
              <w:rPr>
                <w:rFonts w:hint="eastAsia" w:ascii="宋体" w:hAnsi="宋体" w:eastAsia="宋体" w:cs="宋体"/>
                <w:color w:val="000000"/>
                <w:kern w:val="0"/>
                <w:sz w:val="22"/>
                <w:szCs w:val="22"/>
              </w:rPr>
              <w:t>编号：</w:t>
            </w:r>
            <w:r>
              <w:rPr>
                <w:rFonts w:hint="eastAsia" w:ascii="宋体" w:hAnsi="宋体" w:eastAsia="宋体" w:cs="宋体"/>
                <w:color w:val="000000"/>
                <w:kern w:val="0"/>
                <w:sz w:val="22"/>
                <w:szCs w:val="22"/>
                <w:lang w:val="en-US" w:eastAsia="zh-CN"/>
              </w:rPr>
              <w:t>HTBY</w:t>
            </w:r>
            <w:r>
              <w:rPr>
                <w:rFonts w:hint="eastAsia" w:ascii="宋体" w:hAnsi="宋体" w:eastAsia="宋体" w:cs="宋体"/>
                <w:color w:val="000000"/>
                <w:kern w:val="0"/>
                <w:sz w:val="22"/>
                <w:szCs w:val="22"/>
              </w:rPr>
              <w:t>-JL-01</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编审批齐全，2021.9.10.；识别的重要环境因素2项，分别为</w:t>
            </w:r>
            <w:r>
              <w:rPr>
                <w:rFonts w:hint="eastAsia" w:ascii="宋体" w:hAnsi="宋体" w:eastAsia="宋体" w:cs="宋体"/>
                <w:color w:val="000000"/>
                <w:kern w:val="0"/>
                <w:sz w:val="22"/>
                <w:szCs w:val="22"/>
              </w:rPr>
              <w:t>火灾</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固废排放</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制订的控制措施为</w:t>
            </w:r>
            <w:r>
              <w:rPr>
                <w:rFonts w:hint="eastAsia" w:ascii="宋体" w:hAnsi="宋体" w:eastAsia="宋体" w:cs="宋体"/>
                <w:color w:val="000000"/>
                <w:kern w:val="0"/>
                <w:sz w:val="22"/>
                <w:szCs w:val="22"/>
              </w:rPr>
              <w:t>《应急预案与响应控制程序》</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《环境运行控制程序》、《环境目标指标和管理方案》</w:t>
            </w:r>
            <w:r>
              <w:rPr>
                <w:rFonts w:hint="eastAsia" w:ascii="宋体" w:hAnsi="宋体" w:eastAsia="宋体" w:cs="宋体"/>
                <w:color w:val="000000"/>
                <w:kern w:val="0"/>
                <w:sz w:val="22"/>
                <w:szCs w:val="22"/>
                <w:lang w:eastAsia="zh-CN"/>
              </w:rPr>
              <w:t>。</w:t>
            </w:r>
          </w:p>
          <w:p>
            <w:pPr>
              <w:pStyle w:val="3"/>
              <w:rPr>
                <w:rFonts w:hint="default" w:ascii="Times New Roman" w:hAnsi="Times New Roman" w:eastAsia="宋体" w:cs="Times New Roman"/>
                <w:bCs/>
                <w:spacing w:val="10"/>
                <w:kern w:val="2"/>
                <w:sz w:val="21"/>
                <w:lang w:val="en-US" w:eastAsia="zh-CN" w:bidi="ar-SA"/>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sz w:val="24"/>
                <w:szCs w:val="24"/>
              </w:rPr>
            </w:pPr>
            <w:r>
              <w:rPr>
                <w:rFonts w:hint="eastAsia" w:cs="Arial" w:asciiTheme="minorEastAsia" w:hAnsiTheme="minorEastAsia" w:eastAsiaTheme="minorEastAsia"/>
                <w:color w:val="000000" w:themeColor="text1"/>
                <w:sz w:val="24"/>
                <w:szCs w:val="24"/>
              </w:rPr>
              <w:t>运行控制</w:t>
            </w:r>
          </w:p>
        </w:tc>
        <w:tc>
          <w:tcPr>
            <w:tcW w:w="960" w:type="dxa"/>
            <w:vAlign w:val="top"/>
          </w:tcPr>
          <w:p>
            <w:pPr>
              <w:rPr>
                <w:rFonts w:hint="default"/>
                <w:lang w:val="en-US" w:eastAsia="zh-CN"/>
              </w:rPr>
            </w:pPr>
            <w:r>
              <w:rPr>
                <w:rFonts w:hint="eastAsia"/>
                <w:lang w:val="en-US" w:eastAsia="zh-CN"/>
              </w:rPr>
              <w:t>E8.1</w:t>
            </w:r>
          </w:p>
        </w:tc>
        <w:tc>
          <w:tcPr>
            <w:tcW w:w="10004" w:type="dxa"/>
            <w:vAlign w:val="top"/>
          </w:tcPr>
          <w:p>
            <w:pPr>
              <w:pStyle w:val="14"/>
              <w:rPr>
                <w:rFonts w:hint="eastAsia" w:ascii="宋体" w:hAnsi="宋体"/>
                <w:szCs w:val="21"/>
                <w:lang w:eastAsia="zh-CN"/>
              </w:rPr>
            </w:pPr>
            <w:r>
              <w:rPr>
                <w:rFonts w:hint="eastAsia" w:cs="Times New Roman"/>
                <w:bCs/>
                <w:spacing w:val="10"/>
                <w:kern w:val="2"/>
                <w:sz w:val="21"/>
                <w:lang w:val="en-US" w:eastAsia="zh-CN" w:bidi="ar-SA"/>
              </w:rPr>
              <w:t>---执行的文件：</w:t>
            </w:r>
            <w:r>
              <w:rPr>
                <w:rFonts w:hint="eastAsia" w:ascii="宋体" w:hAnsi="宋体"/>
                <w:sz w:val="21"/>
                <w:szCs w:val="21"/>
              </w:rPr>
              <w:t>环境运行控制程序</w:t>
            </w:r>
            <w:r>
              <w:rPr>
                <w:rFonts w:hint="eastAsia" w:ascii="宋体" w:hAnsi="宋体"/>
                <w:sz w:val="21"/>
                <w:szCs w:val="21"/>
                <w:lang w:eastAsia="zh-CN"/>
              </w:rPr>
              <w:t>、</w:t>
            </w:r>
            <w:r>
              <w:rPr>
                <w:rFonts w:hint="eastAsia" w:ascii="宋体" w:hAnsi="宋体"/>
                <w:sz w:val="21"/>
                <w:szCs w:val="21"/>
              </w:rPr>
              <w:t>与顾客相关过程的控制程序</w:t>
            </w:r>
            <w:r>
              <w:rPr>
                <w:rFonts w:hint="eastAsia" w:ascii="宋体" w:hAnsi="宋体"/>
                <w:sz w:val="21"/>
                <w:szCs w:val="21"/>
                <w:lang w:eastAsia="zh-CN"/>
              </w:rPr>
              <w:t>、</w:t>
            </w:r>
            <w:r>
              <w:rPr>
                <w:rFonts w:hint="eastAsia" w:ascii="宋体" w:hAnsi="宋体"/>
                <w:szCs w:val="21"/>
              </w:rPr>
              <w:t>外部提供过程、产品和服务控制程序</w:t>
            </w:r>
            <w:r>
              <w:rPr>
                <w:rFonts w:hint="eastAsia" w:ascii="宋体" w:hAnsi="宋体"/>
                <w:szCs w:val="21"/>
                <w:lang w:eastAsia="zh-CN"/>
              </w:rPr>
              <w:t>、</w:t>
            </w:r>
            <w:r>
              <w:rPr>
                <w:rFonts w:hint="eastAsia" w:ascii="宋体" w:hAnsi="宋体"/>
                <w:szCs w:val="21"/>
              </w:rPr>
              <w:t>服务过程控制程序</w:t>
            </w:r>
            <w:r>
              <w:rPr>
                <w:rFonts w:hint="eastAsia" w:ascii="宋体" w:hAnsi="宋体"/>
                <w:szCs w:val="21"/>
                <w:lang w:eastAsia="zh-CN"/>
              </w:rPr>
              <w:t>、节约能源管理制度、固废处理管理制度、消防设施管理制度。</w:t>
            </w:r>
          </w:p>
          <w:p>
            <w:pPr>
              <w:pStyle w:val="14"/>
              <w:rPr>
                <w:rFonts w:hint="eastAsia" w:ascii="宋体" w:hAnsi="宋体"/>
                <w:szCs w:val="21"/>
                <w:lang w:val="en-US" w:eastAsia="zh-CN"/>
              </w:rPr>
            </w:pPr>
            <w:r>
              <w:rPr>
                <w:rFonts w:hint="eastAsia" w:ascii="宋体" w:hAnsi="宋体"/>
                <w:szCs w:val="21"/>
                <w:lang w:val="en-US" w:eastAsia="zh-CN"/>
              </w:rPr>
              <w:t>---实施：</w:t>
            </w:r>
          </w:p>
          <w:p>
            <w:pPr>
              <w:pStyle w:val="14"/>
              <w:numPr>
                <w:ilvl w:val="0"/>
                <w:numId w:val="1"/>
              </w:numPr>
              <w:rPr>
                <w:rFonts w:hint="eastAsia" w:ascii="宋体" w:hAnsi="宋体" w:cs="宋体"/>
                <w:b w:val="0"/>
                <w:bCs w:val="0"/>
                <w:sz w:val="21"/>
                <w:szCs w:val="21"/>
                <w:lang w:val="en-GB"/>
              </w:rPr>
            </w:pPr>
            <w:r>
              <w:rPr>
                <w:rFonts w:hint="eastAsia" w:ascii="宋体" w:hAnsi="宋体" w:cs="宋体"/>
                <w:b w:val="0"/>
                <w:bCs w:val="0"/>
                <w:sz w:val="21"/>
                <w:szCs w:val="21"/>
                <w:lang w:val="en-GB"/>
              </w:rPr>
              <w:t>办公过程注意节约用电，做到人走灯灭，电脑长时间不用时关机，下班前关闭电源；办公区域内配置的灭火器,在有效期内。</w:t>
            </w:r>
          </w:p>
          <w:p>
            <w:pPr>
              <w:pStyle w:val="3"/>
              <w:numPr>
                <w:ilvl w:val="0"/>
                <w:numId w:val="1"/>
              </w:numPr>
              <w:ind w:left="0" w:leftChars="0" w:firstLine="0" w:firstLineChars="0"/>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提供有“环保资金投入表”，如下：</w:t>
            </w:r>
          </w:p>
          <w:p>
            <w:pPr>
              <w:pStyle w:val="3"/>
              <w:numPr>
                <w:ilvl w:val="0"/>
                <w:numId w:val="0"/>
              </w:numPr>
              <w:ind w:leftChars="0"/>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序号</w:t>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项目</w:t>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资金（元）</w:t>
            </w:r>
            <w:r>
              <w:rPr>
                <w:rFonts w:hint="default" w:ascii="宋体" w:hAnsi="宋体" w:cs="宋体"/>
                <w:color w:val="000000"/>
                <w:kern w:val="0"/>
                <w:sz w:val="22"/>
                <w:szCs w:val="22"/>
                <w:lang w:val="en-US" w:eastAsia="zh-CN"/>
              </w:rPr>
              <w:tab/>
            </w:r>
          </w:p>
          <w:p>
            <w:pPr>
              <w:pStyle w:val="3"/>
              <w:numPr>
                <w:ilvl w:val="0"/>
                <w:numId w:val="0"/>
              </w:numPr>
              <w:ind w:leftChars="0"/>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w:t>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环境绿化</w:t>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3000</w:t>
            </w:r>
            <w:r>
              <w:rPr>
                <w:rFonts w:hint="default" w:ascii="宋体" w:hAnsi="宋体" w:cs="宋体"/>
                <w:color w:val="000000"/>
                <w:kern w:val="0"/>
                <w:sz w:val="22"/>
                <w:szCs w:val="22"/>
                <w:lang w:val="en-US" w:eastAsia="zh-CN"/>
              </w:rPr>
              <w:tab/>
            </w:r>
          </w:p>
          <w:p>
            <w:pPr>
              <w:pStyle w:val="3"/>
              <w:numPr>
                <w:ilvl w:val="0"/>
                <w:numId w:val="0"/>
              </w:numPr>
              <w:ind w:leftChars="0"/>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w:t>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垃圾清运</w:t>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4750</w:t>
            </w:r>
            <w:r>
              <w:rPr>
                <w:rFonts w:hint="default" w:ascii="宋体" w:hAnsi="宋体" w:cs="宋体"/>
                <w:color w:val="000000"/>
                <w:kern w:val="0"/>
                <w:sz w:val="22"/>
                <w:szCs w:val="22"/>
                <w:lang w:val="en-US" w:eastAsia="zh-CN"/>
              </w:rPr>
              <w:tab/>
            </w:r>
          </w:p>
          <w:p>
            <w:pPr>
              <w:pStyle w:val="3"/>
              <w:numPr>
                <w:ilvl w:val="0"/>
                <w:numId w:val="0"/>
              </w:numPr>
              <w:ind w:leftChars="0"/>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3</w:t>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环境、消防培训</w:t>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2000</w:t>
            </w:r>
            <w:r>
              <w:rPr>
                <w:rFonts w:hint="default" w:ascii="宋体" w:hAnsi="宋体" w:cs="宋体"/>
                <w:color w:val="000000"/>
                <w:kern w:val="0"/>
                <w:sz w:val="22"/>
                <w:szCs w:val="22"/>
                <w:lang w:val="en-US" w:eastAsia="zh-CN"/>
              </w:rPr>
              <w:tab/>
            </w:r>
          </w:p>
          <w:p>
            <w:pPr>
              <w:pStyle w:val="3"/>
              <w:numPr>
                <w:ilvl w:val="0"/>
                <w:numId w:val="0"/>
              </w:numPr>
              <w:ind w:leftChars="0"/>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4</w:t>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消防器材购买</w:t>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500</w:t>
            </w:r>
            <w:r>
              <w:rPr>
                <w:rFonts w:hint="default" w:ascii="宋体" w:hAnsi="宋体" w:cs="宋体"/>
                <w:color w:val="000000"/>
                <w:kern w:val="0"/>
                <w:sz w:val="22"/>
                <w:szCs w:val="22"/>
                <w:lang w:val="en-US" w:eastAsia="zh-CN"/>
              </w:rPr>
              <w:tab/>
            </w:r>
          </w:p>
          <w:p>
            <w:pPr>
              <w:pStyle w:val="3"/>
              <w:numPr>
                <w:ilvl w:val="0"/>
                <w:numId w:val="0"/>
              </w:numPr>
              <w:ind w:leftChars="0"/>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5</w:t>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应急演练</w:t>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2500</w:t>
            </w:r>
            <w:r>
              <w:rPr>
                <w:rFonts w:hint="default" w:ascii="宋体" w:hAnsi="宋体" w:cs="宋体"/>
                <w:color w:val="000000"/>
                <w:kern w:val="0"/>
                <w:sz w:val="22"/>
                <w:szCs w:val="22"/>
                <w:lang w:val="en-US" w:eastAsia="zh-CN"/>
              </w:rPr>
              <w:tab/>
            </w:r>
          </w:p>
          <w:p>
            <w:pPr>
              <w:pStyle w:val="3"/>
              <w:numPr>
                <w:ilvl w:val="0"/>
                <w:numId w:val="0"/>
              </w:numPr>
              <w:ind w:leftChars="0"/>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合计</w:t>
            </w:r>
            <w:r>
              <w:rPr>
                <w:rFonts w:hint="default" w:ascii="宋体" w:hAnsi="宋体" w:cs="宋体"/>
                <w:color w:val="000000"/>
                <w:kern w:val="0"/>
                <w:sz w:val="22"/>
                <w:szCs w:val="22"/>
                <w:lang w:val="en-US" w:eastAsia="zh-CN"/>
              </w:rPr>
              <w:tab/>
            </w:r>
            <w:r>
              <w:rPr>
                <w:rFonts w:hint="default" w:ascii="宋体" w:hAnsi="宋体" w:cs="宋体"/>
                <w:color w:val="000000"/>
                <w:kern w:val="0"/>
                <w:sz w:val="22"/>
                <w:szCs w:val="22"/>
                <w:lang w:val="en-US" w:eastAsia="zh-CN"/>
              </w:rPr>
              <w:t>12750</w:t>
            </w:r>
            <w:r>
              <w:rPr>
                <w:rFonts w:hint="default" w:ascii="宋体" w:hAnsi="宋体" w:cs="宋体"/>
                <w:color w:val="000000"/>
                <w:kern w:val="0"/>
                <w:sz w:val="22"/>
                <w:szCs w:val="22"/>
                <w:lang w:val="en-US" w:eastAsia="zh-CN"/>
              </w:rPr>
              <w:tab/>
            </w:r>
          </w:p>
          <w:p>
            <w:pPr>
              <w:pStyle w:val="3"/>
              <w:numPr>
                <w:ilvl w:val="0"/>
                <w:numId w:val="0"/>
              </w:numPr>
              <w:ind w:leftChars="0"/>
              <w:rPr>
                <w:rFonts w:hint="eastAsia" w:ascii="宋体" w:hAnsi="宋体" w:cs="宋体"/>
                <w:color w:val="000000"/>
                <w:kern w:val="0"/>
                <w:sz w:val="22"/>
                <w:szCs w:val="22"/>
                <w:lang w:val="en-US" w:eastAsia="zh-CN"/>
              </w:rPr>
            </w:pPr>
          </w:p>
          <w:p>
            <w:pPr>
              <w:pStyle w:val="3"/>
              <w:numPr>
                <w:ilvl w:val="0"/>
                <w:numId w:val="0"/>
              </w:numPr>
              <w:ind w:leftChars="0"/>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sz w:val="24"/>
                <w:szCs w:val="24"/>
              </w:rPr>
            </w:pPr>
            <w:r>
              <w:rPr>
                <w:rFonts w:hint="eastAsia" w:ascii="Times New Roman" w:hAnsi="Times New Roman" w:eastAsia="宋体" w:cs="Lucida Sans"/>
                <w:b w:val="0"/>
                <w:bCs w:val="0"/>
                <w:szCs w:val="20"/>
              </w:rPr>
              <w:t>应急准备和响应</w:t>
            </w:r>
          </w:p>
        </w:tc>
        <w:tc>
          <w:tcPr>
            <w:tcW w:w="960" w:type="dxa"/>
            <w:vAlign w:val="top"/>
          </w:tcPr>
          <w:p>
            <w:pPr>
              <w:rPr>
                <w:rFonts w:hint="default"/>
                <w:lang w:val="en-US" w:eastAsia="zh-CN"/>
              </w:rPr>
            </w:pPr>
            <w:r>
              <w:rPr>
                <w:rFonts w:hint="eastAsia"/>
                <w:lang w:val="en-US" w:eastAsia="zh-CN"/>
              </w:rPr>
              <w:t>E8.2</w:t>
            </w:r>
          </w:p>
        </w:tc>
        <w:tc>
          <w:tcPr>
            <w:tcW w:w="10004" w:type="dxa"/>
            <w:vAlign w:val="top"/>
          </w:tcPr>
          <w:p>
            <w:pPr>
              <w:pStyle w:val="14"/>
              <w:numPr>
                <w:ilvl w:val="0"/>
                <w:numId w:val="0"/>
              </w:num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部门参与</w:t>
            </w:r>
            <w:r>
              <w:rPr>
                <w:rFonts w:hint="eastAsia" w:ascii="Times New Roman" w:hAnsi="Times New Roman" w:eastAsia="宋体" w:cs="Times New Roman"/>
                <w:bCs w:val="0"/>
                <w:spacing w:val="0"/>
                <w:kern w:val="2"/>
                <w:sz w:val="24"/>
                <w:szCs w:val="24"/>
                <w:vertAlign w:val="baseline"/>
                <w:lang w:val="en-US" w:eastAsia="zh-CN" w:bidi="ar-SA"/>
              </w:rPr>
              <w:t>2021.10.18.</w:t>
            </w:r>
            <w:r>
              <w:rPr>
                <w:rFonts w:hint="eastAsia" w:ascii="宋体" w:hAnsi="宋体" w:cs="宋体"/>
                <w:b w:val="0"/>
                <w:bCs w:val="0"/>
                <w:sz w:val="21"/>
                <w:szCs w:val="21"/>
                <w:lang w:val="en-US" w:eastAsia="zh-CN"/>
              </w:rPr>
              <w:t>由综合部组织的火灾应急演练，有效果评价。</w:t>
            </w:r>
          </w:p>
          <w:p>
            <w:pPr>
              <w:pStyle w:val="14"/>
              <w:numPr>
                <w:ilvl w:val="0"/>
                <w:numId w:val="0"/>
              </w:numPr>
              <w:rPr>
                <w:rFonts w:hint="eastAsia" w:ascii="宋体" w:hAnsi="宋体" w:cs="宋体"/>
                <w:b w:val="0"/>
                <w:bCs w:val="0"/>
                <w:sz w:val="21"/>
                <w:szCs w:val="21"/>
                <w:lang w:val="en-US" w:eastAsia="zh-CN"/>
              </w:rPr>
            </w:pPr>
          </w:p>
          <w:p>
            <w:pPr>
              <w:pStyle w:val="3"/>
              <w:rPr>
                <w:rFonts w:hint="eastAsia" w:ascii="宋体" w:hAnsi="宋体" w:eastAsia="宋体" w:cs="宋体"/>
                <w:color w:val="000000"/>
                <w:kern w:val="0"/>
                <w:sz w:val="22"/>
                <w:szCs w:val="22"/>
                <w:lang w:eastAsia="zh-CN"/>
              </w:rPr>
            </w:pPr>
            <w:r>
              <w:rPr>
                <w:rFonts w:hint="eastAsia" w:ascii="宋体" w:hAnsi="宋体" w:cs="宋体"/>
                <w:b w:val="0"/>
                <w:bCs w:val="0"/>
                <w:sz w:val="21"/>
                <w:szCs w:val="21"/>
                <w:lang w:val="en-US" w:eastAsia="zh-CN"/>
              </w:rPr>
              <w:t>——基本符合</w:t>
            </w:r>
          </w:p>
        </w:tc>
        <w:tc>
          <w:tcPr>
            <w:tcW w:w="1585" w:type="dxa"/>
          </w:tcPr>
          <w:p>
            <w:pPr>
              <w:rPr>
                <w:rFonts w:hint="eastAsia" w:eastAsia="宋体"/>
                <w:lang w:val="en-US" w:eastAsia="zh-CN"/>
              </w:rPr>
            </w:pPr>
            <w:r>
              <w:rPr>
                <w:rFonts w:hint="eastAsia"/>
                <w:lang w:val="en-US" w:eastAsia="zh-CN"/>
              </w:rPr>
              <w:t>Y</w:t>
            </w:r>
            <w:bookmarkStart w:id="3" w:name="_GoBack"/>
            <w:bookmarkEnd w:id="3"/>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FC6B8"/>
    <w:multiLevelType w:val="singleLevel"/>
    <w:tmpl w:val="097FC6B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3NDJhNGRkNmZiZjA2OTg3ZjZiMDhkODZkNmNlMjcifQ=="/>
  </w:docVars>
  <w:rsids>
    <w:rsidRoot w:val="00000000"/>
    <w:rsid w:val="036D5519"/>
    <w:rsid w:val="049802FF"/>
    <w:rsid w:val="0D3F094B"/>
    <w:rsid w:val="1C4F677C"/>
    <w:rsid w:val="1E2A36CD"/>
    <w:rsid w:val="1FAA16AA"/>
    <w:rsid w:val="200D169D"/>
    <w:rsid w:val="26C54B2C"/>
    <w:rsid w:val="280164A0"/>
    <w:rsid w:val="2CCF3188"/>
    <w:rsid w:val="2DDE64D3"/>
    <w:rsid w:val="30A73141"/>
    <w:rsid w:val="38451629"/>
    <w:rsid w:val="4299476D"/>
    <w:rsid w:val="449F71B6"/>
    <w:rsid w:val="47A83843"/>
    <w:rsid w:val="4C8D3147"/>
    <w:rsid w:val="5311687F"/>
    <w:rsid w:val="5393516E"/>
    <w:rsid w:val="56100A05"/>
    <w:rsid w:val="5ECA660F"/>
    <w:rsid w:val="6621264F"/>
    <w:rsid w:val="677F6BA2"/>
    <w:rsid w:val="6B9D33DE"/>
    <w:rsid w:val="6C7C646E"/>
    <w:rsid w:val="7000585A"/>
    <w:rsid w:val="77696BD9"/>
    <w:rsid w:val="78CC4D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jc w:val="left"/>
    </w:pPr>
    <w:rPr>
      <w:rFonts w:ascii="Times New Roman" w:hAnsi="Times New Roman" w:eastAsia="宋体" w:cs="Times New Roman"/>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850</Words>
  <Characters>981</Characters>
  <Lines>1</Lines>
  <Paragraphs>1</Paragraphs>
  <TotalTime>0</TotalTime>
  <ScaleCrop>false</ScaleCrop>
  <LinksUpToDate>false</LinksUpToDate>
  <CharactersWithSpaces>1026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2022-08-03T03:16:57Z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2052-11.1.0.11875</vt:lpwstr>
  </property>
</Properties>
</file>