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杭州莱宸科技有限公司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1302-2021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2025-N1MMS-3059501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2025年12月01日上午至2025年12月02日上午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83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