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66"/>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rFonts w:hint="eastAsia" w:ascii="仿宋" w:hAnsi="仿宋" w:eastAsia="仿宋" w:cs="仿宋"/>
                <w:sz w:val="21"/>
                <w:szCs w:val="21"/>
              </w:rPr>
            </w:pPr>
            <w:r>
              <w:rPr>
                <w:rFonts w:hint="eastAsia" w:ascii="仿宋" w:hAnsi="仿宋" w:eastAsia="仿宋" w:cs="仿宋"/>
                <w:sz w:val="21"/>
                <w:szCs w:val="21"/>
              </w:rPr>
              <w:t>过程与活动、</w:t>
            </w:r>
          </w:p>
          <w:p>
            <w:pPr>
              <w:jc w:val="center"/>
              <w:rPr>
                <w:rFonts w:hint="eastAsia" w:ascii="仿宋" w:hAnsi="仿宋" w:eastAsia="仿宋" w:cs="仿宋"/>
                <w:sz w:val="21"/>
                <w:szCs w:val="21"/>
              </w:rPr>
            </w:pPr>
            <w:r>
              <w:rPr>
                <w:rFonts w:hint="eastAsia" w:ascii="仿宋" w:hAnsi="仿宋" w:eastAsia="仿宋" w:cs="仿宋"/>
                <w:sz w:val="21"/>
                <w:szCs w:val="21"/>
              </w:rPr>
              <w:t>抽样计划</w:t>
            </w:r>
          </w:p>
        </w:tc>
        <w:tc>
          <w:tcPr>
            <w:tcW w:w="1166" w:type="dxa"/>
            <w:vMerge w:val="restart"/>
            <w:vAlign w:val="center"/>
          </w:tcPr>
          <w:p>
            <w:pPr>
              <w:rPr>
                <w:rFonts w:hint="eastAsia" w:ascii="仿宋" w:hAnsi="仿宋" w:eastAsia="仿宋" w:cs="仿宋"/>
                <w:sz w:val="21"/>
                <w:szCs w:val="21"/>
              </w:rPr>
            </w:pPr>
            <w:r>
              <w:rPr>
                <w:rFonts w:hint="eastAsia" w:ascii="仿宋" w:hAnsi="仿宋" w:eastAsia="仿宋" w:cs="仿宋"/>
                <w:sz w:val="21"/>
                <w:szCs w:val="21"/>
              </w:rPr>
              <w:t>涉及</w:t>
            </w:r>
          </w:p>
          <w:p>
            <w:pPr>
              <w:rPr>
                <w:rFonts w:hint="eastAsia" w:ascii="仿宋" w:hAnsi="仿宋" w:eastAsia="仿宋" w:cs="仿宋"/>
                <w:sz w:val="21"/>
                <w:szCs w:val="21"/>
              </w:rPr>
            </w:pPr>
            <w:r>
              <w:rPr>
                <w:rFonts w:hint="eastAsia" w:ascii="仿宋" w:hAnsi="仿宋" w:eastAsia="仿宋" w:cs="仿宋"/>
                <w:sz w:val="21"/>
                <w:szCs w:val="21"/>
              </w:rPr>
              <w:t>条款</w:t>
            </w:r>
          </w:p>
        </w:tc>
        <w:tc>
          <w:tcPr>
            <w:tcW w:w="10738"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受审核部门：生产部      主管领导：</w:t>
            </w:r>
            <w:r>
              <w:rPr>
                <w:rFonts w:hint="eastAsia" w:ascii="仿宋" w:hAnsi="仿宋" w:eastAsia="仿宋" w:cs="仿宋"/>
                <w:sz w:val="21"/>
                <w:szCs w:val="21"/>
                <w:lang w:eastAsia="zh-CN"/>
              </w:rPr>
              <w:t>郭海琴</w:t>
            </w:r>
            <w:r>
              <w:rPr>
                <w:rFonts w:hint="eastAsia" w:ascii="仿宋" w:hAnsi="仿宋" w:eastAsia="仿宋" w:cs="仿宋"/>
                <w:sz w:val="21"/>
                <w:szCs w:val="21"/>
              </w:rPr>
              <w:t xml:space="preserve">    陪同人员：</w:t>
            </w:r>
            <w:r>
              <w:rPr>
                <w:rFonts w:hint="eastAsia" w:ascii="仿宋" w:hAnsi="仿宋" w:eastAsia="仿宋" w:cs="仿宋"/>
                <w:sz w:val="21"/>
                <w:szCs w:val="21"/>
                <w:lang w:eastAsia="zh-CN"/>
              </w:rPr>
              <w:t>钟世斌</w:t>
            </w:r>
          </w:p>
        </w:tc>
        <w:tc>
          <w:tcPr>
            <w:tcW w:w="851" w:type="dxa"/>
            <w:vMerge w:val="restart"/>
            <w:vAlign w:val="center"/>
          </w:tcPr>
          <w:p>
            <w:pPr>
              <w:rPr>
                <w:rFonts w:hint="eastAsia" w:ascii="仿宋" w:hAnsi="仿宋" w:eastAsia="仿宋" w:cs="仿宋"/>
                <w:sz w:val="21"/>
                <w:szCs w:val="21"/>
              </w:rPr>
            </w:pPr>
            <w:r>
              <w:rPr>
                <w:rFonts w:hint="eastAsia" w:ascii="仿宋" w:hAnsi="仿宋" w:eastAsia="仿宋" w:cs="仿宋"/>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pPr>
              <w:rPr>
                <w:rFonts w:hint="eastAsia" w:ascii="仿宋" w:hAnsi="仿宋" w:eastAsia="仿宋" w:cs="仿宋"/>
                <w:sz w:val="21"/>
                <w:szCs w:val="21"/>
              </w:rPr>
            </w:pPr>
          </w:p>
        </w:tc>
        <w:tc>
          <w:tcPr>
            <w:tcW w:w="1166" w:type="dxa"/>
            <w:vMerge w:val="continue"/>
            <w:vAlign w:val="center"/>
          </w:tcPr>
          <w:p>
            <w:pPr>
              <w:rPr>
                <w:rFonts w:hint="eastAsia" w:ascii="仿宋" w:hAnsi="仿宋" w:eastAsia="仿宋" w:cs="仿宋"/>
                <w:sz w:val="21"/>
                <w:szCs w:val="21"/>
              </w:rPr>
            </w:pPr>
          </w:p>
        </w:tc>
        <w:tc>
          <w:tcPr>
            <w:tcW w:w="10738" w:type="dxa"/>
            <w:vAlign w:val="center"/>
          </w:tcPr>
          <w:p>
            <w:pPr>
              <w:spacing w:before="120"/>
              <w:rPr>
                <w:rFonts w:hint="eastAsia" w:ascii="仿宋" w:hAnsi="仿宋" w:eastAsia="仿宋" w:cs="仿宋"/>
                <w:sz w:val="21"/>
                <w:szCs w:val="21"/>
              </w:rPr>
            </w:pPr>
            <w:r>
              <w:rPr>
                <w:rFonts w:hint="eastAsia" w:ascii="仿宋" w:hAnsi="仿宋" w:eastAsia="仿宋" w:cs="仿宋"/>
                <w:sz w:val="21"/>
                <w:szCs w:val="21"/>
              </w:rPr>
              <w:t>审核员：</w:t>
            </w:r>
            <w:r>
              <w:rPr>
                <w:rFonts w:hint="eastAsia" w:ascii="仿宋" w:hAnsi="仿宋" w:eastAsia="仿宋" w:cs="仿宋"/>
                <w:sz w:val="21"/>
                <w:szCs w:val="21"/>
                <w:lang w:val="en-US" w:eastAsia="zh-CN"/>
              </w:rPr>
              <w:t>强兴</w:t>
            </w:r>
            <w:r>
              <w:rPr>
                <w:rFonts w:hint="eastAsia" w:ascii="仿宋" w:hAnsi="仿宋" w:eastAsia="仿宋" w:cs="仿宋"/>
                <w:sz w:val="21"/>
                <w:szCs w:val="21"/>
              </w:rPr>
              <w:t xml:space="preserve">     审核时间：202</w:t>
            </w:r>
            <w:r>
              <w:rPr>
                <w:rFonts w:hint="eastAsia" w:ascii="仿宋" w:hAnsi="仿宋" w:eastAsia="仿宋" w:cs="仿宋"/>
                <w:sz w:val="21"/>
                <w:szCs w:val="21"/>
                <w:lang w:val="en-US" w:eastAsia="zh-CN"/>
              </w:rPr>
              <w:t>2.8.2</w:t>
            </w:r>
          </w:p>
        </w:tc>
        <w:tc>
          <w:tcPr>
            <w:tcW w:w="851" w:type="dxa"/>
            <w:vMerge w:val="continue"/>
          </w:tcPr>
          <w:p>
            <w:pP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rFonts w:hint="eastAsia" w:ascii="仿宋" w:hAnsi="仿宋" w:eastAsia="仿宋" w:cs="仿宋"/>
                <w:sz w:val="21"/>
                <w:szCs w:val="21"/>
              </w:rPr>
            </w:pPr>
          </w:p>
        </w:tc>
        <w:tc>
          <w:tcPr>
            <w:tcW w:w="1166" w:type="dxa"/>
            <w:vMerge w:val="continue"/>
            <w:vAlign w:val="center"/>
          </w:tcPr>
          <w:p>
            <w:pPr>
              <w:rPr>
                <w:rFonts w:hint="eastAsia" w:ascii="仿宋" w:hAnsi="仿宋" w:eastAsia="仿宋" w:cs="仿宋"/>
                <w:sz w:val="21"/>
                <w:szCs w:val="21"/>
              </w:rPr>
            </w:pPr>
          </w:p>
        </w:tc>
        <w:tc>
          <w:tcPr>
            <w:tcW w:w="10738" w:type="dxa"/>
            <w:vAlign w:val="center"/>
          </w:tcPr>
          <w:p>
            <w:pPr>
              <w:rPr>
                <w:rFonts w:hint="eastAsia" w:ascii="仿宋" w:hAnsi="仿宋" w:eastAsia="仿宋" w:cs="仿宋"/>
                <w:sz w:val="21"/>
                <w:szCs w:val="21"/>
              </w:rPr>
            </w:pPr>
            <w:r>
              <w:rPr>
                <w:rFonts w:hint="eastAsia" w:ascii="仿宋" w:hAnsi="仿宋" w:eastAsia="仿宋" w:cs="仿宋"/>
                <w:sz w:val="21"/>
                <w:szCs w:val="21"/>
              </w:rPr>
              <w:t>审核条款：</w:t>
            </w:r>
          </w:p>
          <w:p>
            <w:pPr>
              <w:adjustRightInd w:val="0"/>
              <w:snapToGrid w:val="0"/>
              <w:spacing w:line="320" w:lineRule="exact"/>
              <w:ind w:right="105" w:rightChars="50"/>
              <w:textAlignment w:val="baseline"/>
              <w:rPr>
                <w:rFonts w:hint="eastAsia" w:ascii="仿宋" w:hAnsi="仿宋" w:eastAsia="仿宋" w:cs="仿宋"/>
                <w:sz w:val="21"/>
                <w:szCs w:val="21"/>
              </w:rPr>
            </w:pPr>
            <w:r>
              <w:rPr>
                <w:rFonts w:hint="eastAsia" w:ascii="仿宋" w:hAnsi="仿宋" w:eastAsia="仿宋" w:cs="仿宋"/>
                <w:sz w:val="21"/>
                <w:szCs w:val="21"/>
              </w:rPr>
              <w:t>QMS:5.3组织的岗位、职责和权限、6.2质量目标、7.1.3基础设施、7.1.4过程运行环境、8.1运行策划和控制、8.5.1生产和服务提供的控制、8.5.2产品标识和可追朔性、8.5.4产品防护、8.5.6生产和服务提供的更改控制</w:t>
            </w:r>
          </w:p>
          <w:p>
            <w:pPr>
              <w:adjustRightInd w:val="0"/>
              <w:snapToGrid w:val="0"/>
              <w:spacing w:line="320" w:lineRule="exact"/>
              <w:ind w:right="105" w:rightChars="50"/>
              <w:textAlignment w:val="baseline"/>
              <w:rPr>
                <w:rFonts w:hint="eastAsia" w:ascii="仿宋" w:hAnsi="仿宋" w:eastAsia="仿宋" w:cs="仿宋"/>
                <w:sz w:val="21"/>
                <w:szCs w:val="21"/>
              </w:rPr>
            </w:pPr>
          </w:p>
        </w:tc>
        <w:tc>
          <w:tcPr>
            <w:tcW w:w="851" w:type="dxa"/>
            <w:vMerge w:val="continue"/>
          </w:tcPr>
          <w:p>
            <w:pP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rFonts w:hint="eastAsia" w:ascii="仿宋" w:hAnsi="仿宋" w:eastAsia="仿宋" w:cs="仿宋"/>
                <w:sz w:val="21"/>
                <w:szCs w:val="21"/>
              </w:rPr>
            </w:pPr>
            <w:r>
              <w:rPr>
                <w:rFonts w:hint="eastAsia" w:ascii="仿宋" w:hAnsi="仿宋" w:eastAsia="仿宋" w:cs="仿宋"/>
                <w:sz w:val="21"/>
                <w:szCs w:val="21"/>
              </w:rPr>
              <w:t>部门及人员的职责和权限</w:t>
            </w:r>
          </w:p>
        </w:tc>
        <w:tc>
          <w:tcPr>
            <w:tcW w:w="1166" w:type="dxa"/>
          </w:tcPr>
          <w:p>
            <w:pPr>
              <w:rPr>
                <w:rFonts w:hint="eastAsia" w:ascii="仿宋" w:hAnsi="仿宋" w:eastAsia="仿宋" w:cs="仿宋"/>
                <w:b/>
                <w:bCs/>
                <w:sz w:val="21"/>
                <w:szCs w:val="21"/>
              </w:rPr>
            </w:pPr>
            <w:r>
              <w:rPr>
                <w:rFonts w:hint="eastAsia" w:ascii="仿宋" w:hAnsi="仿宋" w:eastAsia="仿宋" w:cs="仿宋"/>
                <w:b/>
                <w:bCs/>
                <w:sz w:val="21"/>
                <w:szCs w:val="21"/>
              </w:rPr>
              <w:t>Q5.3</w:t>
            </w:r>
          </w:p>
          <w:p>
            <w:pPr>
              <w:rPr>
                <w:rFonts w:hint="eastAsia" w:ascii="仿宋" w:hAnsi="仿宋" w:eastAsia="仿宋" w:cs="仿宋"/>
                <w:b/>
                <w:bCs/>
                <w:sz w:val="21"/>
                <w:szCs w:val="21"/>
              </w:rPr>
            </w:pPr>
          </w:p>
          <w:p>
            <w:pPr>
              <w:rPr>
                <w:rFonts w:hint="eastAsia" w:ascii="仿宋" w:hAnsi="仿宋" w:eastAsia="仿宋" w:cs="仿宋"/>
                <w:sz w:val="21"/>
                <w:szCs w:val="21"/>
              </w:rPr>
            </w:pPr>
          </w:p>
        </w:tc>
        <w:tc>
          <w:tcPr>
            <w:tcW w:w="10738" w:type="dxa"/>
          </w:tcPr>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生产部主要作用、职责和权限包括:</w:t>
            </w:r>
            <w:r>
              <w:rPr>
                <w:rFonts w:hint="eastAsia" w:ascii="仿宋" w:hAnsi="仿宋" w:eastAsia="仿宋" w:cs="仿宋"/>
                <w:sz w:val="21"/>
                <w:szCs w:val="21"/>
                <w:lang w:eastAsia="zh-CN"/>
              </w:rPr>
              <w:t>负责车间成本的降低和技术革新，</w:t>
            </w:r>
            <w:r>
              <w:rPr>
                <w:rFonts w:hint="eastAsia" w:ascii="仿宋" w:hAnsi="仿宋" w:eastAsia="仿宋" w:cs="仿宋"/>
                <w:sz w:val="21"/>
                <w:szCs w:val="21"/>
              </w:rPr>
              <w:t>负责基础设施管理控制，负责生产和服务提供的控制，包括制定生产计划，科学合理调度，确保生产计划及时按期完成，负责产品标识，并确保在必要时实现可追溯性，负责产品实现的策划，质量管理体系生产服务提供控制。</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生产部上述作用和职责、权限基本得到有效沟通和实施。</w:t>
            </w:r>
          </w:p>
        </w:tc>
        <w:tc>
          <w:tcPr>
            <w:tcW w:w="851" w:type="dxa"/>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4" w:type="dxa"/>
          </w:tcPr>
          <w:p>
            <w:pPr>
              <w:spacing w:line="360" w:lineRule="auto"/>
              <w:rPr>
                <w:rFonts w:hint="eastAsia" w:ascii="仿宋" w:hAnsi="仿宋" w:eastAsia="仿宋" w:cs="仿宋"/>
                <w:kern w:val="0"/>
                <w:sz w:val="21"/>
                <w:szCs w:val="21"/>
              </w:rPr>
            </w:pPr>
            <w:r>
              <w:rPr>
                <w:rFonts w:hint="eastAsia" w:ascii="仿宋" w:hAnsi="仿宋" w:eastAsia="仿宋" w:cs="仿宋"/>
                <w:kern w:val="0"/>
                <w:sz w:val="21"/>
                <w:szCs w:val="21"/>
              </w:rPr>
              <w:t>目标</w:t>
            </w:r>
          </w:p>
          <w:p>
            <w:pPr>
              <w:spacing w:line="360" w:lineRule="auto"/>
              <w:rPr>
                <w:rFonts w:hint="eastAsia" w:ascii="仿宋" w:hAnsi="仿宋" w:eastAsia="仿宋" w:cs="仿宋"/>
                <w:sz w:val="21"/>
                <w:szCs w:val="21"/>
              </w:rPr>
            </w:pPr>
          </w:p>
        </w:tc>
        <w:tc>
          <w:tcPr>
            <w:tcW w:w="1166" w:type="dxa"/>
          </w:tcPr>
          <w:p>
            <w:pPr>
              <w:spacing w:line="360" w:lineRule="auto"/>
              <w:rPr>
                <w:rFonts w:hint="eastAsia" w:ascii="仿宋" w:hAnsi="仿宋" w:eastAsia="仿宋" w:cs="仿宋"/>
                <w:bCs/>
                <w:sz w:val="21"/>
                <w:szCs w:val="21"/>
              </w:rPr>
            </w:pPr>
            <w:r>
              <w:rPr>
                <w:rFonts w:hint="eastAsia" w:ascii="仿宋" w:hAnsi="仿宋" w:eastAsia="仿宋" w:cs="仿宋"/>
                <w:b/>
                <w:bCs/>
                <w:sz w:val="21"/>
                <w:szCs w:val="21"/>
              </w:rPr>
              <w:t>Q</w:t>
            </w:r>
            <w:r>
              <w:rPr>
                <w:rFonts w:hint="eastAsia" w:ascii="仿宋" w:hAnsi="仿宋" w:eastAsia="仿宋" w:cs="仿宋"/>
                <w:b/>
                <w:sz w:val="21"/>
                <w:szCs w:val="21"/>
              </w:rPr>
              <w:t>6.2</w:t>
            </w:r>
          </w:p>
          <w:p>
            <w:pPr>
              <w:spacing w:line="360" w:lineRule="auto"/>
              <w:rPr>
                <w:rFonts w:hint="eastAsia" w:ascii="仿宋" w:hAnsi="仿宋" w:eastAsia="仿宋" w:cs="仿宋"/>
                <w:bCs/>
                <w:sz w:val="21"/>
                <w:szCs w:val="21"/>
              </w:rPr>
            </w:pPr>
          </w:p>
          <w:p>
            <w:pPr>
              <w:spacing w:line="360" w:lineRule="auto"/>
              <w:rPr>
                <w:rFonts w:hint="eastAsia" w:ascii="仿宋" w:hAnsi="仿宋" w:eastAsia="仿宋" w:cs="仿宋"/>
                <w:sz w:val="21"/>
                <w:szCs w:val="21"/>
              </w:rPr>
            </w:pPr>
          </w:p>
        </w:tc>
        <w:tc>
          <w:tcPr>
            <w:tcW w:w="10738" w:type="dxa"/>
          </w:tcPr>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查有公司级管理目标，并按照部门对目标进行分解，有目标管理管理规定，规定了目标的分解及考核的具体方法。</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202</w:t>
            </w:r>
            <w:r>
              <w:rPr>
                <w:rFonts w:hint="eastAsia" w:ascii="仿宋" w:hAnsi="仿宋" w:eastAsia="仿宋" w:cs="仿宋"/>
                <w:sz w:val="21"/>
                <w:szCs w:val="21"/>
                <w:lang w:val="en-US" w:eastAsia="zh-CN"/>
              </w:rPr>
              <w:t>2</w:t>
            </w:r>
            <w:r>
              <w:rPr>
                <w:rFonts w:hint="eastAsia" w:ascii="仿宋" w:hAnsi="仿宋" w:eastAsia="仿宋" w:cs="仿宋"/>
                <w:sz w:val="21"/>
                <w:szCs w:val="21"/>
              </w:rPr>
              <w:t>年</w:t>
            </w:r>
            <w:r>
              <w:rPr>
                <w:rFonts w:hint="eastAsia" w:ascii="仿宋" w:hAnsi="仿宋" w:eastAsia="仿宋" w:cs="仿宋"/>
                <w:sz w:val="21"/>
                <w:szCs w:val="21"/>
                <w:lang w:val="en-US" w:eastAsia="zh-CN"/>
              </w:rPr>
              <w:t>7</w:t>
            </w:r>
            <w:r>
              <w:rPr>
                <w:rFonts w:hint="eastAsia" w:ascii="仿宋" w:hAnsi="仿宋" w:eastAsia="仿宋" w:cs="仿宋"/>
                <w:sz w:val="21"/>
                <w:szCs w:val="21"/>
              </w:rPr>
              <w:t>月</w:t>
            </w:r>
            <w:r>
              <w:rPr>
                <w:rFonts w:hint="eastAsia" w:ascii="仿宋" w:hAnsi="仿宋" w:eastAsia="仿宋" w:cs="仿宋"/>
                <w:sz w:val="21"/>
                <w:szCs w:val="21"/>
                <w:lang w:val="en-US" w:eastAsia="zh-CN"/>
              </w:rPr>
              <w:t>25</w:t>
            </w:r>
            <w:r>
              <w:rPr>
                <w:rFonts w:hint="eastAsia" w:ascii="仿宋" w:hAnsi="仿宋" w:eastAsia="仿宋" w:cs="仿宋"/>
                <w:sz w:val="21"/>
                <w:szCs w:val="21"/>
              </w:rPr>
              <w:t>日生产部质量目标统计情况</w:t>
            </w:r>
          </w:p>
          <w:p>
            <w:pPr>
              <w:spacing w:beforeLines="20" w:afterLines="20" w:line="312"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生产部主要目标                                           统计情况</w:t>
            </w:r>
          </w:p>
          <w:p>
            <w:pPr>
              <w:spacing w:beforeLines="20" w:afterLines="20" w:line="312" w:lineRule="auto"/>
              <w:ind w:firstLine="420" w:firstLineChars="200"/>
              <w:rPr>
                <w:rFonts w:hint="eastAsia" w:ascii="仿宋" w:hAnsi="仿宋" w:eastAsia="仿宋" w:cs="仿宋"/>
                <w:sz w:val="21"/>
                <w:szCs w:val="21"/>
              </w:rPr>
            </w:pPr>
            <w:r>
              <w:rPr>
                <w:rFonts w:hint="eastAsia" w:ascii="仿宋" w:hAnsi="仿宋" w:eastAsia="仿宋" w:cs="仿宋"/>
                <w:sz w:val="21"/>
                <w:szCs w:val="21"/>
              </w:rPr>
              <w:t>1、综合良品率≥9</w:t>
            </w:r>
            <w:r>
              <w:rPr>
                <w:rFonts w:hint="eastAsia" w:ascii="仿宋" w:hAnsi="仿宋" w:eastAsia="仿宋" w:cs="仿宋"/>
                <w:sz w:val="21"/>
                <w:szCs w:val="21"/>
                <w:lang w:val="en-US" w:eastAsia="zh-CN"/>
              </w:rPr>
              <w:t>4</w:t>
            </w:r>
            <w:r>
              <w:rPr>
                <w:rFonts w:hint="eastAsia" w:ascii="仿宋" w:hAnsi="仿宋" w:eastAsia="仿宋" w:cs="仿宋"/>
                <w:sz w:val="21"/>
                <w:szCs w:val="21"/>
              </w:rPr>
              <w:t>%                                         9</w:t>
            </w:r>
            <w:r>
              <w:rPr>
                <w:rFonts w:hint="eastAsia" w:ascii="仿宋" w:hAnsi="仿宋" w:eastAsia="仿宋" w:cs="仿宋"/>
                <w:sz w:val="21"/>
                <w:szCs w:val="21"/>
                <w:lang w:val="en-US" w:eastAsia="zh-CN"/>
              </w:rPr>
              <w:t>8</w:t>
            </w:r>
            <w:r>
              <w:rPr>
                <w:rFonts w:hint="eastAsia" w:ascii="仿宋" w:hAnsi="仿宋" w:eastAsia="仿宋" w:cs="仿宋"/>
                <w:sz w:val="21"/>
                <w:szCs w:val="21"/>
              </w:rPr>
              <w:t>%</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与方针一致，符合公司总的质量目标，202</w:t>
            </w:r>
            <w:r>
              <w:rPr>
                <w:rFonts w:hint="eastAsia" w:ascii="仿宋" w:hAnsi="仿宋" w:eastAsia="仿宋" w:cs="仿宋"/>
                <w:sz w:val="21"/>
                <w:szCs w:val="21"/>
                <w:lang w:val="en-US" w:eastAsia="zh-CN"/>
              </w:rPr>
              <w:t>2</w:t>
            </w:r>
            <w:r>
              <w:rPr>
                <w:rFonts w:hint="eastAsia" w:ascii="仿宋" w:hAnsi="仿宋" w:eastAsia="仿宋" w:cs="仿宋"/>
                <w:sz w:val="21"/>
                <w:szCs w:val="21"/>
              </w:rPr>
              <w:t>年</w:t>
            </w:r>
            <w:r>
              <w:rPr>
                <w:rFonts w:hint="eastAsia" w:ascii="仿宋" w:hAnsi="仿宋" w:eastAsia="仿宋" w:cs="仿宋"/>
                <w:sz w:val="21"/>
                <w:szCs w:val="21"/>
                <w:lang w:val="en-US" w:eastAsia="zh-CN"/>
              </w:rPr>
              <w:t>7</w:t>
            </w:r>
            <w:r>
              <w:rPr>
                <w:rFonts w:hint="eastAsia" w:ascii="仿宋" w:hAnsi="仿宋" w:eastAsia="仿宋" w:cs="仿宋"/>
                <w:sz w:val="21"/>
                <w:szCs w:val="21"/>
              </w:rPr>
              <w:t>月</w:t>
            </w:r>
            <w:r>
              <w:rPr>
                <w:rFonts w:hint="eastAsia" w:ascii="仿宋" w:hAnsi="仿宋" w:eastAsia="仿宋" w:cs="仿宋"/>
                <w:sz w:val="21"/>
                <w:szCs w:val="21"/>
                <w:lang w:val="en-US" w:eastAsia="zh-CN"/>
              </w:rPr>
              <w:t>25</w:t>
            </w:r>
            <w:r>
              <w:rPr>
                <w:rFonts w:hint="eastAsia" w:ascii="仿宋" w:hAnsi="仿宋" w:eastAsia="仿宋" w:cs="仿宋"/>
                <w:sz w:val="21"/>
                <w:szCs w:val="21"/>
              </w:rPr>
              <w:t>日，</w:t>
            </w:r>
            <w:r>
              <w:rPr>
                <w:rFonts w:hint="eastAsia" w:ascii="仿宋" w:hAnsi="仿宋" w:eastAsia="仿宋" w:cs="仿宋"/>
                <w:sz w:val="21"/>
                <w:szCs w:val="21"/>
                <w:lang w:eastAsia="zh-CN"/>
              </w:rPr>
              <w:t>郭海琴</w:t>
            </w:r>
            <w:r>
              <w:rPr>
                <w:rFonts w:hint="eastAsia" w:ascii="仿宋" w:hAnsi="仿宋" w:eastAsia="仿宋" w:cs="仿宋"/>
                <w:sz w:val="21"/>
                <w:szCs w:val="21"/>
              </w:rPr>
              <w:t>进行了统计及目标实现分析，经查，达成目标。</w:t>
            </w:r>
          </w:p>
          <w:p>
            <w:pPr>
              <w:spacing w:beforeLines="30" w:afterLines="30" w:line="288" w:lineRule="auto"/>
              <w:ind w:firstLine="420" w:firstLineChars="200"/>
              <w:rPr>
                <w:rFonts w:hint="eastAsia" w:ascii="仿宋" w:hAnsi="仿宋" w:eastAsia="仿宋" w:cs="仿宋"/>
                <w:sz w:val="21"/>
                <w:szCs w:val="21"/>
              </w:rPr>
            </w:pPr>
          </w:p>
        </w:tc>
        <w:tc>
          <w:tcPr>
            <w:tcW w:w="851" w:type="dxa"/>
          </w:tcPr>
          <w:p>
            <w:pPr>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tcPr>
          <w:p>
            <w:pPr>
              <w:spacing w:line="360" w:lineRule="auto"/>
              <w:rPr>
                <w:rFonts w:hint="eastAsia" w:ascii="仿宋" w:hAnsi="仿宋" w:eastAsia="仿宋" w:cs="仿宋"/>
                <w:bCs/>
                <w:sz w:val="21"/>
                <w:szCs w:val="21"/>
              </w:rPr>
            </w:pPr>
            <w:r>
              <w:rPr>
                <w:rFonts w:hint="eastAsia" w:ascii="仿宋" w:hAnsi="仿宋" w:eastAsia="仿宋" w:cs="仿宋"/>
                <w:bCs/>
                <w:sz w:val="21"/>
                <w:szCs w:val="21"/>
              </w:rPr>
              <w:t>运行的策划和控制</w:t>
            </w: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tc>
        <w:tc>
          <w:tcPr>
            <w:tcW w:w="1166" w:type="dxa"/>
          </w:tcPr>
          <w:p>
            <w:pPr>
              <w:spacing w:line="360" w:lineRule="auto"/>
              <w:rPr>
                <w:rFonts w:hint="eastAsia" w:ascii="仿宋" w:hAnsi="仿宋" w:eastAsia="仿宋" w:cs="仿宋"/>
                <w:i/>
                <w:iCs/>
                <w:sz w:val="21"/>
                <w:szCs w:val="21"/>
              </w:rPr>
            </w:pPr>
            <w:r>
              <w:rPr>
                <w:rFonts w:hint="eastAsia" w:ascii="仿宋" w:hAnsi="仿宋" w:eastAsia="仿宋" w:cs="仿宋"/>
                <w:b/>
                <w:bCs/>
                <w:sz w:val="21"/>
                <w:szCs w:val="21"/>
              </w:rPr>
              <w:t>Q8</w:t>
            </w:r>
            <w:r>
              <w:rPr>
                <w:rFonts w:hint="eastAsia" w:ascii="仿宋" w:hAnsi="仿宋" w:eastAsia="仿宋" w:cs="仿宋"/>
                <w:b/>
                <w:sz w:val="21"/>
                <w:szCs w:val="21"/>
              </w:rPr>
              <w:t>.1</w:t>
            </w:r>
          </w:p>
          <w:p>
            <w:pPr>
              <w:pStyle w:val="6"/>
              <w:spacing w:line="360" w:lineRule="auto"/>
              <w:ind w:firstLine="480"/>
              <w:rPr>
                <w:rFonts w:hint="eastAsia" w:ascii="仿宋" w:hAnsi="仿宋" w:eastAsia="仿宋" w:cs="仿宋"/>
                <w:i/>
                <w:iCs/>
                <w:color w:val="auto"/>
                <w:sz w:val="21"/>
                <w:szCs w:val="21"/>
                <w:u w:val="wave"/>
              </w:rPr>
            </w:pPr>
          </w:p>
          <w:p>
            <w:pPr>
              <w:pStyle w:val="6"/>
              <w:spacing w:line="360" w:lineRule="auto"/>
              <w:ind w:firstLine="480"/>
              <w:rPr>
                <w:rFonts w:hint="eastAsia" w:ascii="仿宋" w:hAnsi="仿宋" w:eastAsia="仿宋" w:cs="仿宋"/>
                <w:i/>
                <w:iCs/>
                <w:color w:val="auto"/>
                <w:sz w:val="21"/>
                <w:szCs w:val="21"/>
                <w:u w:val="wave"/>
              </w:rPr>
            </w:pPr>
          </w:p>
          <w:p>
            <w:pPr>
              <w:pStyle w:val="6"/>
              <w:spacing w:line="360" w:lineRule="auto"/>
              <w:ind w:firstLine="0" w:firstLineChars="0"/>
              <w:rPr>
                <w:rFonts w:hint="eastAsia" w:ascii="仿宋" w:hAnsi="仿宋" w:eastAsia="仿宋" w:cs="仿宋"/>
                <w:bCs/>
                <w:i/>
                <w:iCs/>
                <w:color w:val="auto"/>
                <w:sz w:val="21"/>
                <w:szCs w:val="21"/>
              </w:rPr>
            </w:pPr>
          </w:p>
          <w:p>
            <w:pPr>
              <w:pStyle w:val="6"/>
              <w:spacing w:line="360" w:lineRule="auto"/>
              <w:ind w:firstLine="0" w:firstLineChars="0"/>
              <w:rPr>
                <w:rFonts w:hint="eastAsia" w:ascii="仿宋" w:hAnsi="仿宋" w:eastAsia="仿宋" w:cs="仿宋"/>
                <w:bCs/>
                <w:i/>
                <w:iCs/>
                <w:color w:val="auto"/>
                <w:sz w:val="21"/>
                <w:szCs w:val="21"/>
              </w:rPr>
            </w:pPr>
          </w:p>
          <w:p>
            <w:pPr>
              <w:spacing w:line="360" w:lineRule="auto"/>
              <w:rPr>
                <w:rFonts w:hint="eastAsia" w:ascii="仿宋" w:hAnsi="仿宋" w:eastAsia="仿宋" w:cs="仿宋"/>
                <w:sz w:val="21"/>
                <w:szCs w:val="21"/>
              </w:rPr>
            </w:pPr>
          </w:p>
        </w:tc>
        <w:tc>
          <w:tcPr>
            <w:tcW w:w="10738" w:type="dxa"/>
          </w:tcPr>
          <w:p>
            <w:pPr>
              <w:pStyle w:val="6"/>
              <w:spacing w:beforeLines="30" w:afterLines="30" w:line="240"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一、确定产品和服务的要求</w:t>
            </w:r>
          </w:p>
          <w:p>
            <w:pPr>
              <w:pStyle w:val="6"/>
              <w:spacing w:beforeLines="30" w:afterLines="30" w:line="240" w:lineRule="auto"/>
              <w:ind w:left="718" w:leftChars="342" w:firstLine="210" w:firstLineChars="10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1、顾客的合同要求：依据客户要求确定产品的数量、规格、型号、交期等。</w:t>
            </w:r>
          </w:p>
          <w:p>
            <w:pPr>
              <w:pStyle w:val="6"/>
              <w:spacing w:beforeLines="30" w:afterLines="30" w:line="240" w:lineRule="auto"/>
              <w:ind w:left="718" w:leftChars="342" w:firstLine="210" w:firstLineChars="10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2、公司生产的产品主要有：低温陶瓷基板，高温陶瓷基板、覆铜直接陶瓷以及陶瓷模组的生产。</w:t>
            </w:r>
          </w:p>
          <w:p>
            <w:pPr>
              <w:pStyle w:val="6"/>
              <w:spacing w:beforeLines="30" w:afterLines="30" w:line="288" w:lineRule="auto"/>
              <w:ind w:left="718" w:leftChars="342"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3、公司生产、检验相关标准：按客户要求</w:t>
            </w:r>
            <w:r>
              <w:rPr>
                <w:rFonts w:hint="eastAsia" w:ascii="仿宋" w:hAnsi="仿宋" w:eastAsia="仿宋" w:cs="仿宋"/>
                <w:color w:val="auto"/>
                <w:sz w:val="21"/>
                <w:szCs w:val="21"/>
                <w:lang w:eastAsia="zh-CN"/>
              </w:rPr>
              <w:t>电子陶瓷零件技术条件（</w:t>
            </w:r>
            <w:r>
              <w:rPr>
                <w:rFonts w:hint="eastAsia" w:ascii="仿宋" w:hAnsi="仿宋" w:eastAsia="仿宋" w:cs="仿宋"/>
                <w:color w:val="auto"/>
                <w:sz w:val="21"/>
                <w:szCs w:val="21"/>
                <w:lang w:val="en-US" w:eastAsia="zh-CN"/>
              </w:rPr>
              <w:t>GB9531.1-1988</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滤波器用压电陶瓷材料通用技术条件（</w:t>
            </w:r>
            <w:r>
              <w:rPr>
                <w:rFonts w:hint="eastAsia" w:ascii="仿宋" w:hAnsi="仿宋" w:eastAsia="仿宋" w:cs="仿宋"/>
                <w:color w:val="auto"/>
                <w:sz w:val="21"/>
                <w:szCs w:val="21"/>
                <w:lang w:val="en-US" w:eastAsia="zh-CN"/>
              </w:rPr>
              <w:t>GB/T15155-1994</w:t>
            </w:r>
            <w:r>
              <w:rPr>
                <w:rFonts w:hint="eastAsia" w:ascii="仿宋" w:hAnsi="仿宋" w:eastAsia="仿宋" w:cs="仿宋"/>
                <w:color w:val="auto"/>
                <w:sz w:val="21"/>
                <w:szCs w:val="21"/>
                <w:lang w:eastAsia="zh-CN"/>
              </w:rPr>
              <w:t>）、厚膜集成电路用氧化铝陶瓷基片（</w:t>
            </w:r>
            <w:r>
              <w:rPr>
                <w:rFonts w:hint="eastAsia" w:ascii="仿宋" w:hAnsi="仿宋" w:eastAsia="仿宋" w:cs="仿宋"/>
                <w:color w:val="auto"/>
                <w:sz w:val="21"/>
                <w:szCs w:val="21"/>
                <w:lang w:val="en-US" w:eastAsia="zh-CN"/>
              </w:rPr>
              <w:t>GB/T`14619-2013</w:t>
            </w:r>
            <w:r>
              <w:rPr>
                <w:rFonts w:hint="eastAsia" w:ascii="仿宋" w:hAnsi="仿宋" w:eastAsia="仿宋" w:cs="仿宋"/>
                <w:color w:val="auto"/>
                <w:sz w:val="21"/>
                <w:szCs w:val="21"/>
                <w:lang w:eastAsia="zh-CN"/>
              </w:rPr>
              <w:t>）、厚膜陶瓷基板生产工厂设计标准（</w:t>
            </w:r>
            <w:r>
              <w:rPr>
                <w:rFonts w:hint="eastAsia" w:ascii="仿宋" w:hAnsi="仿宋" w:eastAsia="仿宋" w:cs="仿宋"/>
                <w:color w:val="auto"/>
                <w:sz w:val="21"/>
                <w:szCs w:val="21"/>
                <w:lang w:val="en-US" w:eastAsia="zh-CN"/>
              </w:rPr>
              <w:t>GB51333-2018</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MIL-STD-105E</w:t>
            </w:r>
            <w:r>
              <w:rPr>
                <w:rFonts w:hint="eastAsia" w:ascii="仿宋" w:hAnsi="仿宋" w:eastAsia="仿宋" w:cs="仿宋"/>
                <w:color w:val="auto"/>
                <w:sz w:val="21"/>
                <w:szCs w:val="21"/>
              </w:rPr>
              <w:t>等，编制了相应的过程文件：编制了《生产工序作业指导书》、《过程检验规程》等指导产品生产和确定产品的接收；</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3、特殊过程：烧结过程。</w:t>
            </w:r>
          </w:p>
          <w:p>
            <w:pPr>
              <w:pStyle w:val="6"/>
              <w:spacing w:beforeLines="30" w:afterLines="30" w:line="288" w:lineRule="auto"/>
              <w:ind w:left="480" w:firstLine="48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4、关键过程：印刷过程。</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、明确了质量目标和相关的产品特性要求：综合良品率≥9</w:t>
            </w: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%、顾客满意度≥90分，根据客户技术要求进行生产和服务的提供。</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二、过程及产品接收准则</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 xml:space="preserve">1、工艺流程： </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lang w:eastAsia="zh-CN"/>
              </w:rPr>
              <w:t>裁片</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冲孔</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填空</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印刷</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叠层</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水压</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排胶</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烧结</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切割</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检验</w:t>
            </w:r>
            <w:r>
              <w:rPr>
                <w:rFonts w:hint="eastAsia" w:ascii="仿宋" w:hAnsi="仿宋" w:eastAsia="仿宋" w:cs="仿宋"/>
                <w:color w:val="auto"/>
                <w:sz w:val="21"/>
                <w:szCs w:val="21"/>
              </w:rPr>
              <w:t>→入库。</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2、接收准则：原料验收标准、成品检验规范、客户要求等。</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三、确定资源需求：</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生产设备：</w:t>
            </w:r>
            <w:r>
              <w:rPr>
                <w:rFonts w:hint="eastAsia" w:ascii="仿宋" w:hAnsi="仿宋" w:eastAsia="仿宋" w:cs="仿宋"/>
                <w:sz w:val="21"/>
                <w:szCs w:val="21"/>
                <w:lang w:eastAsia="zh-CN"/>
              </w:rPr>
              <w:t>单双室真空包装机、自动印刷机、链式烧结炉、烤箱、真空干燥箱、自动迭压机、冲孔机、切割机、流延机、排胶炉、端银机、空气压缩机、发电机</w:t>
            </w:r>
            <w:r>
              <w:rPr>
                <w:rFonts w:hint="eastAsia" w:ascii="仿宋" w:hAnsi="仿宋" w:eastAsia="仿宋" w:cs="仿宋"/>
                <w:bCs/>
                <w:sz w:val="21"/>
                <w:szCs w:val="21"/>
              </w:rPr>
              <w:t>等生产设备</w:t>
            </w:r>
            <w:r>
              <w:rPr>
                <w:rFonts w:hint="eastAsia" w:ascii="仿宋" w:hAnsi="仿宋" w:eastAsia="仿宋" w:cs="仿宋"/>
                <w:color w:val="auto"/>
                <w:sz w:val="21"/>
                <w:szCs w:val="21"/>
              </w:rPr>
              <w:t>。</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监测设备：</w:t>
            </w:r>
            <w:r>
              <w:rPr>
                <w:rFonts w:hint="eastAsia" w:ascii="仿宋" w:hAnsi="仿宋" w:eastAsia="仿宋" w:cs="仿宋"/>
                <w:bCs/>
                <w:sz w:val="21"/>
                <w:szCs w:val="21"/>
              </w:rPr>
              <w:t>LCR、阻抗分析仪、电子秒表、粘度杯、电阻计、拉力测试器、电子台秤、张力计、卡尺</w:t>
            </w:r>
            <w:r>
              <w:rPr>
                <w:rFonts w:hint="eastAsia" w:ascii="仿宋" w:hAnsi="仿宋" w:eastAsia="仿宋" w:cs="仿宋"/>
                <w:color w:val="auto"/>
                <w:sz w:val="21"/>
                <w:szCs w:val="21"/>
              </w:rPr>
              <w:t>等。</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设备与监测设备基本满足公司产品和服务的需求。</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四、实施过程控制：</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公司按照制定的各工序作业指导书及《过程检验规程》、《成品检验规范》、《原料进货检验规程》、《关键原料定期确认检验规程》等文件对产品的生产和检验过程实施了过程控制。</w:t>
            </w:r>
          </w:p>
          <w:p>
            <w:pPr>
              <w:pStyle w:val="6"/>
              <w:spacing w:beforeLines="30" w:afterLines="30" w:line="288" w:lineRule="auto"/>
              <w:ind w:left="480" w:firstLine="480"/>
              <w:rPr>
                <w:rFonts w:hint="eastAsia" w:ascii="仿宋" w:hAnsi="仿宋" w:eastAsia="仿宋" w:cs="仿宋"/>
                <w:color w:val="auto"/>
                <w:sz w:val="21"/>
                <w:szCs w:val="21"/>
              </w:rPr>
            </w:pPr>
            <w:r>
              <w:rPr>
                <w:rFonts w:hint="eastAsia" w:ascii="仿宋" w:hAnsi="仿宋" w:eastAsia="仿宋" w:cs="仿宋"/>
                <w:color w:val="auto"/>
                <w:sz w:val="21"/>
                <w:szCs w:val="21"/>
              </w:rPr>
              <w:t>五、根据企业体系运行控制的要求策划了成文信息要求，公司生产和服务相关记录主要有：作业通知单、成品检验单、车间巡检记录、生产工艺记录表、检验记录表等。用于保持、保留有关质量体系运行要求的成文信息。</w:t>
            </w:r>
          </w:p>
          <w:p>
            <w:pPr>
              <w:pStyle w:val="6"/>
              <w:spacing w:beforeLines="30" w:afterLines="30" w:line="288" w:lineRule="auto"/>
              <w:ind w:left="48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策划的输出适合于组织的运行。经识别，无外包过程。</w:t>
            </w:r>
          </w:p>
        </w:tc>
        <w:tc>
          <w:tcPr>
            <w:tcW w:w="851" w:type="dxa"/>
          </w:tcPr>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p>
            <w:pP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954" w:type="dxa"/>
          </w:tcPr>
          <w:p>
            <w:pPr>
              <w:spacing w:line="360" w:lineRule="auto"/>
              <w:rPr>
                <w:rFonts w:hint="eastAsia" w:ascii="仿宋" w:hAnsi="仿宋" w:eastAsia="仿宋" w:cs="仿宋"/>
                <w:sz w:val="21"/>
                <w:szCs w:val="21"/>
              </w:rPr>
            </w:pPr>
            <w:r>
              <w:rPr>
                <w:rFonts w:hint="eastAsia" w:ascii="仿宋" w:hAnsi="仿宋" w:eastAsia="仿宋" w:cs="仿宋"/>
                <w:bCs/>
                <w:sz w:val="21"/>
                <w:szCs w:val="21"/>
              </w:rPr>
              <w:t>生产和服务提供的控制</w:t>
            </w: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sz w:val="21"/>
                <w:szCs w:val="21"/>
              </w:rPr>
            </w:pPr>
          </w:p>
        </w:tc>
        <w:tc>
          <w:tcPr>
            <w:tcW w:w="1166" w:type="dxa"/>
          </w:tcPr>
          <w:p>
            <w:pPr>
              <w:spacing w:line="360" w:lineRule="auto"/>
              <w:rPr>
                <w:rFonts w:hint="eastAsia" w:ascii="仿宋" w:hAnsi="仿宋" w:eastAsia="仿宋" w:cs="仿宋"/>
                <w:sz w:val="21"/>
                <w:szCs w:val="21"/>
              </w:rPr>
            </w:pPr>
            <w:r>
              <w:rPr>
                <w:rFonts w:hint="eastAsia" w:ascii="仿宋" w:hAnsi="仿宋" w:eastAsia="仿宋" w:cs="仿宋"/>
                <w:b/>
                <w:sz w:val="21"/>
                <w:szCs w:val="21"/>
              </w:rPr>
              <w:t>Q8.5.1</w:t>
            </w:r>
          </w:p>
        </w:tc>
        <w:tc>
          <w:tcPr>
            <w:tcW w:w="10738" w:type="dxa"/>
          </w:tcPr>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公司规定了生产和服务的控制要求，符合企业实际和标准要求，具有可操作性。</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一、现场查看受控条件：</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1) </w:t>
            </w:r>
            <w:r>
              <w:rPr>
                <w:rFonts w:hint="eastAsia" w:ascii="仿宋" w:hAnsi="仿宋" w:eastAsia="仿宋" w:cs="仿宋"/>
                <w:color w:val="000000"/>
                <w:sz w:val="21"/>
                <w:szCs w:val="21"/>
              </w:rPr>
              <w:t>公司目前从事</w:t>
            </w:r>
            <w:r>
              <w:rPr>
                <w:rFonts w:hint="eastAsia" w:ascii="仿宋" w:hAnsi="仿宋" w:eastAsia="仿宋" w:cs="仿宋"/>
                <w:sz w:val="21"/>
                <w:szCs w:val="21"/>
              </w:rPr>
              <w:t>的是</w:t>
            </w:r>
            <w:bookmarkStart w:id="0" w:name="审核范围"/>
            <w:r>
              <w:rPr>
                <w:rFonts w:hint="eastAsia" w:ascii="仿宋" w:hAnsi="仿宋" w:eastAsia="仿宋" w:cs="仿宋"/>
                <w:sz w:val="21"/>
                <w:szCs w:val="21"/>
              </w:rPr>
              <w:t>陶瓷模组的设计、生产</w:t>
            </w:r>
            <w:bookmarkEnd w:id="0"/>
          </w:p>
          <w:p>
            <w:pPr>
              <w:pStyle w:val="6"/>
              <w:spacing w:beforeLines="30" w:afterLines="30" w:line="288" w:lineRule="auto"/>
              <w:rPr>
                <w:rFonts w:hint="eastAsia" w:ascii="仿宋" w:hAnsi="仿宋" w:eastAsia="仿宋" w:cs="仿宋"/>
                <w:color w:val="auto"/>
                <w:sz w:val="21"/>
                <w:szCs w:val="21"/>
              </w:rPr>
            </w:pPr>
            <w:r>
              <w:rPr>
                <w:rFonts w:hint="eastAsia" w:ascii="仿宋" w:hAnsi="仿宋" w:eastAsia="仿宋" w:cs="仿宋"/>
                <w:sz w:val="21"/>
                <w:szCs w:val="21"/>
              </w:rPr>
              <w:t>生产的工艺流程是：</w:t>
            </w:r>
            <w:r>
              <w:rPr>
                <w:rFonts w:hint="eastAsia" w:ascii="仿宋" w:hAnsi="仿宋" w:eastAsia="仿宋" w:cs="仿宋"/>
                <w:color w:val="auto"/>
                <w:sz w:val="21"/>
                <w:szCs w:val="21"/>
                <w:lang w:eastAsia="zh-CN"/>
              </w:rPr>
              <w:t>裁片</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冲孔</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填空</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印刷</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叠层</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水压</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排胶</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烧结</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切割</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检验</w:t>
            </w:r>
            <w:r>
              <w:rPr>
                <w:rFonts w:hint="eastAsia" w:ascii="仿宋" w:hAnsi="仿宋" w:eastAsia="仿宋" w:cs="仿宋"/>
                <w:color w:val="auto"/>
                <w:sz w:val="21"/>
                <w:szCs w:val="21"/>
              </w:rPr>
              <w:t>→入库。</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通常依据客户的订单来确定需要生产各种产品的数量、规格型号、交货期，从而控制生产和销售的有序进</w:t>
            </w:r>
            <w:r>
              <w:rPr>
                <w:rFonts w:hint="eastAsia" w:ascii="仿宋" w:hAnsi="仿宋" w:eastAsia="仿宋" w:cs="仿宋"/>
                <w:color w:val="000000"/>
                <w:sz w:val="21"/>
                <w:szCs w:val="21"/>
              </w:rPr>
              <w:t>行。</w:t>
            </w:r>
            <w:r>
              <w:rPr>
                <w:rFonts w:hint="eastAsia" w:ascii="仿宋" w:hAnsi="仿宋" w:eastAsia="仿宋" w:cs="仿宋"/>
                <w:sz w:val="21"/>
                <w:szCs w:val="21"/>
              </w:rPr>
              <w:t>经识别</w:t>
            </w:r>
            <w:r>
              <w:rPr>
                <w:rFonts w:hint="eastAsia" w:ascii="仿宋" w:hAnsi="仿宋" w:eastAsia="仿宋" w:cs="仿宋"/>
                <w:sz w:val="21"/>
                <w:szCs w:val="21"/>
                <w:lang w:eastAsia="zh-CN"/>
              </w:rPr>
              <w:t>印刷过</w:t>
            </w:r>
            <w:r>
              <w:rPr>
                <w:rFonts w:hint="eastAsia" w:ascii="仿宋" w:hAnsi="仿宋" w:eastAsia="仿宋" w:cs="仿宋"/>
                <w:sz w:val="21"/>
                <w:szCs w:val="21"/>
              </w:rPr>
              <w:t>程为关键过程，烧结过程特殊过程，无外包过程。</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特殊过程是烧结过程，提供特殊过程的《特殊过程确认单》，对烧结过程进行了过程确认。参与确认的人员：</w:t>
            </w:r>
            <w:r>
              <w:rPr>
                <w:rFonts w:hint="eastAsia" w:ascii="仿宋" w:hAnsi="仿宋" w:eastAsia="仿宋" w:cs="仿宋"/>
                <w:sz w:val="21"/>
                <w:szCs w:val="21"/>
                <w:lang w:val="en-US" w:eastAsia="zh-CN"/>
              </w:rPr>
              <w:t>陈小汾</w:t>
            </w:r>
            <w:r>
              <w:rPr>
                <w:rFonts w:hint="eastAsia" w:ascii="仿宋" w:hAnsi="仿宋" w:eastAsia="仿宋" w:cs="仿宋"/>
                <w:sz w:val="21"/>
                <w:szCs w:val="21"/>
              </w:rPr>
              <w:t>、</w:t>
            </w:r>
            <w:r>
              <w:rPr>
                <w:rFonts w:hint="eastAsia" w:ascii="仿宋" w:hAnsi="仿宋" w:eastAsia="仿宋" w:cs="仿宋"/>
                <w:sz w:val="21"/>
                <w:szCs w:val="21"/>
                <w:lang w:eastAsia="zh-CN"/>
              </w:rPr>
              <w:t>钟世斌</w:t>
            </w:r>
            <w:r>
              <w:rPr>
                <w:rFonts w:hint="eastAsia" w:ascii="仿宋" w:hAnsi="仿宋" w:eastAsia="仿宋" w:cs="仿宋"/>
                <w:sz w:val="21"/>
                <w:szCs w:val="21"/>
              </w:rPr>
              <w:t>等，确认日期：202</w:t>
            </w:r>
            <w:r>
              <w:rPr>
                <w:rFonts w:hint="eastAsia" w:ascii="仿宋" w:hAnsi="仿宋" w:eastAsia="仿宋" w:cs="仿宋"/>
                <w:sz w:val="21"/>
                <w:szCs w:val="21"/>
                <w:lang w:val="en-US" w:eastAsia="zh-CN"/>
              </w:rPr>
              <w:t>2.4.11</w:t>
            </w:r>
            <w:r>
              <w:rPr>
                <w:rFonts w:hint="eastAsia" w:ascii="仿宋" w:hAnsi="仿宋" w:eastAsia="仿宋" w:cs="仿宋"/>
                <w:sz w:val="21"/>
                <w:szCs w:val="21"/>
              </w:rPr>
              <w:t>日</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drawing>
                <wp:inline distT="0" distB="0" distL="114300" distR="114300">
                  <wp:extent cx="2469515" cy="1323340"/>
                  <wp:effectExtent l="0" t="0" r="6985" b="10160"/>
                  <wp:docPr id="8" name="图片 8" descr="微信图片_2022080917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09174341"/>
                          <pic:cNvPicPr>
                            <a:picLocks noChangeAspect="1"/>
                          </pic:cNvPicPr>
                        </pic:nvPicPr>
                        <pic:blipFill>
                          <a:blip r:embed="rId6"/>
                          <a:stretch>
                            <a:fillRect/>
                          </a:stretch>
                        </pic:blipFill>
                        <pic:spPr>
                          <a:xfrm>
                            <a:off x="0" y="0"/>
                            <a:ext cx="2469515" cy="1323340"/>
                          </a:xfrm>
                          <a:prstGeom prst="rect">
                            <a:avLst/>
                          </a:prstGeom>
                        </pic:spPr>
                      </pic:pic>
                    </a:graphicData>
                  </a:graphic>
                </wp:inline>
              </w:drawing>
            </w:r>
          </w:p>
          <w:p>
            <w:pPr>
              <w:autoSpaceDE w:val="0"/>
              <w:autoSpaceDN w:val="0"/>
              <w:adjustRightInd w:val="0"/>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提供了顾客的订单要求，内容包括：规格型号、数量、价格、交货期，齐全完整。</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现场有：图纸、设备操作规程、</w:t>
            </w:r>
            <w:r>
              <w:rPr>
                <w:rFonts w:hint="eastAsia" w:ascii="仿宋" w:hAnsi="仿宋" w:eastAsia="仿宋" w:cs="仿宋"/>
                <w:sz w:val="21"/>
                <w:szCs w:val="21"/>
                <w:lang w:eastAsia="zh-CN"/>
              </w:rPr>
              <w:t>水压</w:t>
            </w:r>
            <w:r>
              <w:rPr>
                <w:rFonts w:hint="eastAsia" w:ascii="仿宋" w:hAnsi="仿宋" w:eastAsia="仿宋" w:cs="仿宋"/>
                <w:sz w:val="21"/>
                <w:szCs w:val="21"/>
              </w:rPr>
              <w:t>作业指导书、</w:t>
            </w:r>
            <w:r>
              <w:rPr>
                <w:rFonts w:hint="eastAsia" w:ascii="仿宋" w:hAnsi="仿宋" w:eastAsia="仿宋" w:cs="仿宋"/>
                <w:sz w:val="21"/>
                <w:szCs w:val="21"/>
                <w:lang w:eastAsia="zh-CN"/>
              </w:rPr>
              <w:t>层叠</w:t>
            </w:r>
            <w:r>
              <w:rPr>
                <w:rFonts w:hint="eastAsia" w:ascii="仿宋" w:hAnsi="仿宋" w:eastAsia="仿宋" w:cs="仿宋"/>
                <w:sz w:val="21"/>
                <w:szCs w:val="21"/>
              </w:rPr>
              <w:t>作业指导书、</w:t>
            </w:r>
            <w:r>
              <w:rPr>
                <w:rFonts w:hint="eastAsia" w:ascii="仿宋" w:hAnsi="仿宋" w:eastAsia="仿宋" w:cs="仿宋"/>
                <w:sz w:val="21"/>
                <w:szCs w:val="21"/>
                <w:lang w:eastAsia="zh-CN"/>
              </w:rPr>
              <w:t>检验</w:t>
            </w:r>
            <w:r>
              <w:rPr>
                <w:rFonts w:hint="eastAsia" w:ascii="仿宋" w:hAnsi="仿宋" w:eastAsia="仿宋" w:cs="仿宋"/>
                <w:sz w:val="21"/>
                <w:szCs w:val="21"/>
              </w:rPr>
              <w:t>作业等指导书、检验规范，操作性较强，可以满足指导生产操作的要求。</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2）提供和配置了LCR、阻抗分析仪、电子秒表、粘度杯、电阻计、拉力测试器、电子台秤、张力计、卡尺等等，监视和测量设备配置适宜，维护保养良好，能够满足质量特性测量需要。</w:t>
            </w:r>
          </w:p>
          <w:p>
            <w:pPr>
              <w:spacing w:beforeLines="30" w:afterLines="30" w:line="288" w:lineRule="auto"/>
              <w:ind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3）检验活动有原材料检验、过程检验、成品的外观、规格尺寸、结构、电性能等项目检验，能够验证过程和产品是否符合接收准则。</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4）提供和配备了</w:t>
            </w:r>
            <w:r>
              <w:rPr>
                <w:rFonts w:hint="eastAsia" w:ascii="仿宋" w:hAnsi="仿宋" w:eastAsia="仿宋" w:cs="仿宋"/>
                <w:sz w:val="21"/>
                <w:szCs w:val="21"/>
                <w:lang w:eastAsia="zh-CN"/>
              </w:rPr>
              <w:t>单双室真空包装机、自动印刷机、链式烧结炉、烤箱、真空干燥箱、自动迭压机、冲孔机、切割机、流延机、排胶炉、端银机、空气压缩机、发电机</w:t>
            </w:r>
            <w:r>
              <w:rPr>
                <w:rFonts w:hint="eastAsia" w:ascii="仿宋" w:hAnsi="仿宋" w:eastAsia="仿宋" w:cs="仿宋"/>
                <w:sz w:val="21"/>
                <w:szCs w:val="21"/>
              </w:rPr>
              <w:t>等，设备运转正常，维护保养良好，配置适宜于生产工艺过程。设备能按照生产流程摆放，摆放基本合理，车间通风良好，光线充足，车间内地面比较干净、整洁，基础设施和环境能够满足生产需求。</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5）生产操作人员和技术人员、管理人员以及质检员都经过了培训，能力满足要求，特种作业人员持证上岗。</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6）提供了设备操作规程、生产作业指导书、专用仪器工具等，规定了操作的步骤、方法、注意事项等，操作人员直接按要求进行控制，防止人为错误。</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7)所有的产品(从原材料至成品)都必须经检验合格后方可转序、入库和交付。产品经过测试检验合格后方可放行和交付，业务部负责产品交付和交付后活动的实施，并负责联系售后服务。发货前由业务部开具出库单(一式三份,留存一联、财务一联、客户一联)，成品库管员依据出库单发货，随货同行有产品合格证、出厂检验报告，公司负责联系货运交付到指定地点，经查出库、交付手续齐全。</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生产现场观察：</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t>陶瓷基板</w:t>
            </w:r>
            <w:r>
              <w:rPr>
                <w:rFonts w:hint="eastAsia" w:ascii="仿宋" w:hAnsi="仿宋" w:eastAsia="仿宋" w:cs="仿宋"/>
                <w:sz w:val="21"/>
                <w:szCs w:val="21"/>
              </w:rPr>
              <w:t>产品结构形状基本一致，区别主要在于规格尺寸、颜色、电性能参数的不同。</w:t>
            </w:r>
          </w:p>
          <w:p>
            <w:pPr>
              <w:spacing w:beforeLines="30" w:afterLines="30" w:line="288"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lang w:eastAsia="zh-CN"/>
              </w:rPr>
            </w:pPr>
            <w:r>
              <w:rPr>
                <w:rFonts w:hint="eastAsia" w:ascii="仿宋" w:hAnsi="仿宋" w:eastAsia="仿宋" w:cs="仿宋"/>
                <w:sz w:val="21"/>
                <w:szCs w:val="21"/>
                <w:lang w:val="en-US" w:eastAsia="zh-CN"/>
              </w:rPr>
              <w:t>现场观察：</w:t>
            </w:r>
            <w:r>
              <w:rPr>
                <w:rFonts w:hint="eastAsia" w:ascii="仿宋" w:hAnsi="仿宋" w:eastAsia="仿宋" w:cs="仿宋"/>
                <w:sz w:val="21"/>
                <w:szCs w:val="21"/>
              </w:rPr>
              <w:t>印刷前仔细核对层别、印刷浆料、丝印网板、印刷参数，确认OK后，开始印刷料片。印刷机SP0214，人员：尹小萍</w:t>
            </w:r>
            <w:r>
              <w:rPr>
                <w:rFonts w:hint="eastAsia" w:ascii="仿宋" w:hAnsi="仿宋" w:eastAsia="仿宋" w:cs="仿宋"/>
                <w:sz w:val="21"/>
                <w:szCs w:val="21"/>
                <w:lang w:eastAsia="zh-CN"/>
              </w:rPr>
              <w:t>；烧结前检查烧结曲线（烧结温度设置如表11），检查实际温度及链速是否稳定，标准温度曲线、升温速率、最高温保温温度及时间、降温速率，确认OK后，将待烧生胚依次放入YC-S-SJ03-A-1904烧结炉网带中间位置进行烧结。链式烧结炉SCA3608-1711Z，人员：刘小香。</w:t>
            </w:r>
          </w:p>
          <w:p>
            <w:pPr>
              <w:spacing w:beforeLines="30" w:afterLines="30" w:line="288" w:lineRule="auto"/>
              <w:ind w:firstLine="420" w:firstLineChars="200"/>
              <w:rPr>
                <w:rFonts w:hint="eastAsia" w:ascii="仿宋" w:hAnsi="仿宋" w:eastAsia="仿宋" w:cs="仿宋"/>
                <w:sz w:val="21"/>
                <w:szCs w:val="21"/>
                <w:lang w:eastAsia="zh-CN"/>
              </w:rPr>
            </w:pPr>
            <w:r>
              <w:rPr>
                <w:rFonts w:hint="eastAsia" w:ascii="仿宋" w:hAnsi="仿宋" w:eastAsia="仿宋" w:cs="仿宋"/>
                <w:sz w:val="21"/>
                <w:szCs w:val="21"/>
                <w:lang w:val="en-US" w:eastAsia="zh-CN"/>
              </w:rPr>
              <w:t>查看其他工序</w:t>
            </w:r>
            <w:r>
              <w:rPr>
                <w:rFonts w:hint="eastAsia" w:ascii="仿宋" w:hAnsi="仿宋" w:eastAsia="仿宋" w:cs="仿宋"/>
                <w:sz w:val="21"/>
                <w:szCs w:val="21"/>
              </w:rPr>
              <w:t>作业符合作业指导书要求</w:t>
            </w:r>
            <w:r>
              <w:rPr>
                <w:rFonts w:hint="eastAsia" w:ascii="仿宋" w:hAnsi="仿宋" w:eastAsia="仿宋" w:cs="仿宋"/>
                <w:sz w:val="21"/>
                <w:szCs w:val="21"/>
                <w:lang w:eastAsia="zh-CN"/>
              </w:rPr>
              <w:t>。</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2336" behindDoc="0" locked="0" layoutInCell="1" allowOverlap="1">
                  <wp:simplePos x="0" y="0"/>
                  <wp:positionH relativeFrom="column">
                    <wp:posOffset>2407285</wp:posOffset>
                  </wp:positionH>
                  <wp:positionV relativeFrom="paragraph">
                    <wp:posOffset>1818005</wp:posOffset>
                  </wp:positionV>
                  <wp:extent cx="1674495" cy="3298190"/>
                  <wp:effectExtent l="0" t="0" r="3810" b="1905"/>
                  <wp:wrapNone/>
                  <wp:docPr id="14" name="图片 14" descr="微信图片_2022080917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809175820"/>
                          <pic:cNvPicPr>
                            <a:picLocks noChangeAspect="1"/>
                          </pic:cNvPicPr>
                        </pic:nvPicPr>
                        <pic:blipFill>
                          <a:blip r:embed="rId7"/>
                          <a:stretch>
                            <a:fillRect/>
                          </a:stretch>
                        </pic:blipFill>
                        <pic:spPr>
                          <a:xfrm rot="5400000">
                            <a:off x="0" y="0"/>
                            <a:ext cx="1674495" cy="3298190"/>
                          </a:xfrm>
                          <a:prstGeom prst="rect">
                            <a:avLst/>
                          </a:prstGeom>
                        </pic:spPr>
                      </pic:pic>
                    </a:graphicData>
                  </a:graphic>
                </wp:anchor>
              </w:drawing>
            </w:r>
            <w:r>
              <w:rPr>
                <w:rFonts w:hint="default" w:ascii="仿宋" w:hAnsi="仿宋" w:eastAsia="仿宋" w:cs="仿宋"/>
                <w:sz w:val="21"/>
                <w:szCs w:val="21"/>
                <w:lang w:val="en-US" w:eastAsia="zh-CN"/>
              </w:rPr>
              <w:drawing>
                <wp:anchor distT="0" distB="0" distL="114300" distR="114300" simplePos="0" relativeHeight="251658240" behindDoc="0" locked="0" layoutInCell="1" allowOverlap="1">
                  <wp:simplePos x="0" y="0"/>
                  <wp:positionH relativeFrom="column">
                    <wp:posOffset>3570605</wp:posOffset>
                  </wp:positionH>
                  <wp:positionV relativeFrom="paragraph">
                    <wp:posOffset>150495</wp:posOffset>
                  </wp:positionV>
                  <wp:extent cx="2398395" cy="2618740"/>
                  <wp:effectExtent l="0" t="0" r="10160" b="1905"/>
                  <wp:wrapNone/>
                  <wp:docPr id="11" name="图片 11" descr="微信图片_2022080917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809175745"/>
                          <pic:cNvPicPr>
                            <a:picLocks noChangeAspect="1"/>
                          </pic:cNvPicPr>
                        </pic:nvPicPr>
                        <pic:blipFill>
                          <a:blip r:embed="rId8"/>
                          <a:stretch>
                            <a:fillRect/>
                          </a:stretch>
                        </pic:blipFill>
                        <pic:spPr>
                          <a:xfrm rot="5400000">
                            <a:off x="0" y="0"/>
                            <a:ext cx="2398395" cy="2618740"/>
                          </a:xfrm>
                          <a:prstGeom prst="rect">
                            <a:avLst/>
                          </a:prstGeom>
                        </pic:spPr>
                      </pic:pic>
                    </a:graphicData>
                  </a:graphic>
                </wp:anchor>
              </w:drawing>
            </w:r>
            <w:r>
              <w:rPr>
                <w:rFonts w:hint="eastAsia" w:ascii="仿宋" w:hAnsi="仿宋" w:eastAsia="仿宋" w:cs="仿宋"/>
                <w:sz w:val="21"/>
                <w:szCs w:val="21"/>
                <w:lang w:val="en-US" w:eastAsia="zh-CN"/>
              </w:rPr>
              <w:t>提供了生产流通卡、印刷工序作业记录、叠层水压记录、切割记录、脱脂烧结记录等。</w:t>
            </w:r>
            <w:r>
              <w:rPr>
                <w:rFonts w:hint="default" w:ascii="仿宋" w:hAnsi="仿宋" w:eastAsia="仿宋" w:cs="仿宋"/>
                <w:sz w:val="21"/>
                <w:szCs w:val="21"/>
                <w:lang w:val="en-US" w:eastAsia="zh-CN"/>
              </w:rPr>
              <w:drawing>
                <wp:inline distT="0" distB="0" distL="114300" distR="114300">
                  <wp:extent cx="2736215" cy="2497455"/>
                  <wp:effectExtent l="0" t="0" r="6985" b="4445"/>
                  <wp:docPr id="10" name="图片 10" descr="微信图片_202208091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809175724"/>
                          <pic:cNvPicPr>
                            <a:picLocks noChangeAspect="1"/>
                          </pic:cNvPicPr>
                        </pic:nvPicPr>
                        <pic:blipFill>
                          <a:blip r:embed="rId9"/>
                          <a:stretch>
                            <a:fillRect/>
                          </a:stretch>
                        </pic:blipFill>
                        <pic:spPr>
                          <a:xfrm>
                            <a:off x="0" y="0"/>
                            <a:ext cx="2736215" cy="2497455"/>
                          </a:xfrm>
                          <a:prstGeom prst="rect">
                            <a:avLst/>
                          </a:prstGeom>
                        </pic:spPr>
                      </pic:pic>
                    </a:graphicData>
                  </a:graphic>
                </wp:inline>
              </w:drawing>
            </w:r>
            <w:r>
              <w:rPr>
                <w:rFonts w:hint="eastAsia" w:ascii="仿宋" w:hAnsi="仿宋" w:eastAsia="仿宋" w:cs="仿宋"/>
                <w:sz w:val="21"/>
                <w:szCs w:val="21"/>
                <w:lang w:val="en-US" w:eastAsia="zh-CN"/>
              </w:rPr>
              <w:t xml:space="preserve"> </w:t>
            </w: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bookmarkStart w:id="1" w:name="_GoBack"/>
            <w:bookmarkEnd w:id="1"/>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1312" behindDoc="0" locked="0" layoutInCell="1" allowOverlap="1">
                  <wp:simplePos x="0" y="0"/>
                  <wp:positionH relativeFrom="column">
                    <wp:posOffset>3276600</wp:posOffset>
                  </wp:positionH>
                  <wp:positionV relativeFrom="paragraph">
                    <wp:posOffset>-568325</wp:posOffset>
                  </wp:positionV>
                  <wp:extent cx="3009900" cy="3934460"/>
                  <wp:effectExtent l="0" t="0" r="2540" b="0"/>
                  <wp:wrapNone/>
                  <wp:docPr id="16" name="图片 16" descr="微信图片_2022080917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809175853"/>
                          <pic:cNvPicPr>
                            <a:picLocks noChangeAspect="1"/>
                          </pic:cNvPicPr>
                        </pic:nvPicPr>
                        <pic:blipFill>
                          <a:blip r:embed="rId10"/>
                          <a:stretch>
                            <a:fillRect/>
                          </a:stretch>
                        </pic:blipFill>
                        <pic:spPr>
                          <a:xfrm rot="5400000">
                            <a:off x="0" y="0"/>
                            <a:ext cx="3009900" cy="3934460"/>
                          </a:xfrm>
                          <a:prstGeom prst="rect">
                            <a:avLst/>
                          </a:prstGeom>
                        </pic:spPr>
                      </pic:pic>
                    </a:graphicData>
                  </a:graphic>
                </wp:anchor>
              </w:drawing>
            </w:r>
            <w:r>
              <w:rPr>
                <w:rFonts w:hint="default" w:ascii="仿宋" w:hAnsi="仿宋" w:eastAsia="仿宋" w:cs="仿宋"/>
                <w:sz w:val="21"/>
                <w:szCs w:val="21"/>
                <w:lang w:val="en-US" w:eastAsia="zh-CN"/>
              </w:rPr>
              <w:drawing>
                <wp:anchor distT="0" distB="0" distL="114300" distR="114300" simplePos="0" relativeHeight="251659264" behindDoc="0" locked="0" layoutInCell="1" allowOverlap="1">
                  <wp:simplePos x="0" y="0"/>
                  <wp:positionH relativeFrom="column">
                    <wp:posOffset>-191770</wp:posOffset>
                  </wp:positionH>
                  <wp:positionV relativeFrom="paragraph">
                    <wp:posOffset>213360</wp:posOffset>
                  </wp:positionV>
                  <wp:extent cx="3042920" cy="2576830"/>
                  <wp:effectExtent l="0" t="0" r="1270" b="5080"/>
                  <wp:wrapNone/>
                  <wp:docPr id="12" name="图片 12" descr="微信图片_202208091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809175802"/>
                          <pic:cNvPicPr>
                            <a:picLocks noChangeAspect="1"/>
                          </pic:cNvPicPr>
                        </pic:nvPicPr>
                        <pic:blipFill>
                          <a:blip r:embed="rId11"/>
                          <a:stretch>
                            <a:fillRect/>
                          </a:stretch>
                        </pic:blipFill>
                        <pic:spPr>
                          <a:xfrm rot="5400000">
                            <a:off x="0" y="0"/>
                            <a:ext cx="3042920" cy="2576830"/>
                          </a:xfrm>
                          <a:prstGeom prst="rect">
                            <a:avLst/>
                          </a:prstGeom>
                        </pic:spPr>
                      </pic:pic>
                    </a:graphicData>
                  </a:graphic>
                </wp:anchor>
              </w:drawing>
            </w: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0288" behindDoc="0" locked="0" layoutInCell="1" allowOverlap="1">
                  <wp:simplePos x="0" y="0"/>
                  <wp:positionH relativeFrom="column">
                    <wp:posOffset>1771015</wp:posOffset>
                  </wp:positionH>
                  <wp:positionV relativeFrom="paragraph">
                    <wp:posOffset>-1203960</wp:posOffset>
                  </wp:positionV>
                  <wp:extent cx="2254250" cy="4883150"/>
                  <wp:effectExtent l="0" t="0" r="6350" b="6350"/>
                  <wp:wrapNone/>
                  <wp:docPr id="15" name="图片 15" descr="微信图片_2022080917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809175837"/>
                          <pic:cNvPicPr>
                            <a:picLocks noChangeAspect="1"/>
                          </pic:cNvPicPr>
                        </pic:nvPicPr>
                        <pic:blipFill>
                          <a:blip r:embed="rId12"/>
                          <a:stretch>
                            <a:fillRect/>
                          </a:stretch>
                        </pic:blipFill>
                        <pic:spPr>
                          <a:xfrm rot="5400000">
                            <a:off x="0" y="0"/>
                            <a:ext cx="2254250" cy="4883150"/>
                          </a:xfrm>
                          <a:prstGeom prst="rect">
                            <a:avLst/>
                          </a:prstGeom>
                        </pic:spPr>
                      </pic:pic>
                    </a:graphicData>
                  </a:graphic>
                </wp:anchor>
              </w:drawing>
            </w: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p>
          <w:p>
            <w:pPr>
              <w:spacing w:beforeLines="30" w:afterLines="30" w:line="240" w:lineRule="auto"/>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lang w:eastAsia="zh-CN"/>
              </w:rPr>
            </w:pPr>
          </w:p>
          <w:p>
            <w:pPr>
              <w:spacing w:beforeLines="30" w:afterLines="30" w:line="240" w:lineRule="auto"/>
              <w:rPr>
                <w:rFonts w:hint="eastAsia" w:ascii="仿宋" w:hAnsi="仿宋" w:eastAsia="仿宋" w:cs="仿宋"/>
                <w:sz w:val="21"/>
                <w:szCs w:val="21"/>
              </w:rPr>
            </w:pPr>
          </w:p>
          <w:p>
            <w:pPr>
              <w:spacing w:beforeLines="30" w:afterLines="30" w:line="24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组织生产过程的控制符合标准规定的要求。</w:t>
            </w:r>
          </w:p>
        </w:tc>
        <w:tc>
          <w:tcPr>
            <w:tcW w:w="851" w:type="dxa"/>
          </w:tcPr>
          <w:p>
            <w:pPr>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54" w:type="dxa"/>
          </w:tcPr>
          <w:p>
            <w:pPr>
              <w:spacing w:line="360" w:lineRule="auto"/>
              <w:rPr>
                <w:rFonts w:hint="eastAsia" w:ascii="仿宋" w:hAnsi="仿宋" w:eastAsia="仿宋" w:cs="仿宋"/>
                <w:sz w:val="21"/>
                <w:szCs w:val="21"/>
              </w:rPr>
            </w:pPr>
            <w:r>
              <w:rPr>
                <w:rFonts w:hint="eastAsia" w:ascii="仿宋" w:hAnsi="仿宋" w:eastAsia="仿宋" w:cs="仿宋"/>
                <w:sz w:val="21"/>
                <w:szCs w:val="21"/>
              </w:rPr>
              <w:t>标识和可追溯/产品防护</w:t>
            </w:r>
          </w:p>
        </w:tc>
        <w:tc>
          <w:tcPr>
            <w:tcW w:w="1166" w:type="dxa"/>
          </w:tcPr>
          <w:p>
            <w:pPr>
              <w:spacing w:line="360" w:lineRule="auto"/>
              <w:rPr>
                <w:rFonts w:hint="eastAsia" w:ascii="仿宋" w:hAnsi="仿宋" w:eastAsia="仿宋" w:cs="仿宋"/>
                <w:b/>
                <w:bCs/>
                <w:sz w:val="21"/>
                <w:szCs w:val="21"/>
              </w:rPr>
            </w:pPr>
            <w:r>
              <w:rPr>
                <w:rFonts w:hint="eastAsia" w:ascii="仿宋" w:hAnsi="仿宋" w:eastAsia="仿宋" w:cs="仿宋"/>
                <w:b/>
                <w:bCs/>
                <w:sz w:val="21"/>
                <w:szCs w:val="21"/>
              </w:rPr>
              <w:t>Q8.5.2</w:t>
            </w:r>
          </w:p>
          <w:p>
            <w:pPr>
              <w:spacing w:line="360" w:lineRule="auto"/>
              <w:rPr>
                <w:rFonts w:hint="eastAsia" w:ascii="仿宋" w:hAnsi="仿宋" w:eastAsia="仿宋" w:cs="仿宋"/>
                <w:sz w:val="21"/>
                <w:szCs w:val="21"/>
              </w:rPr>
            </w:pPr>
            <w:r>
              <w:rPr>
                <w:rFonts w:hint="eastAsia" w:ascii="仿宋" w:hAnsi="仿宋" w:eastAsia="仿宋" w:cs="仿宋"/>
                <w:b/>
                <w:bCs/>
                <w:sz w:val="21"/>
                <w:szCs w:val="21"/>
              </w:rPr>
              <w:t>Q8.5.4</w:t>
            </w:r>
          </w:p>
        </w:tc>
        <w:tc>
          <w:tcPr>
            <w:tcW w:w="10738" w:type="dxa"/>
          </w:tcPr>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原材料依据不同的类型和防护要求进行防护运输，产品运输要求包装等。</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生产车间原材料分类分区放置在指定仓库、产品标识方法得当、未发现不同类型和状态产品发生混淆现象。标识和可追溯性基本符合标准要求。</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人工搬运车）、贮存场所，保持标识完整、清晰。</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产品标识和防护管理基本符合要求。</w:t>
            </w:r>
          </w:p>
        </w:tc>
        <w:tc>
          <w:tcPr>
            <w:tcW w:w="851" w:type="dxa"/>
          </w:tcPr>
          <w:p>
            <w:pPr>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954" w:type="dxa"/>
          </w:tcPr>
          <w:p>
            <w:pPr>
              <w:rPr>
                <w:rFonts w:hint="eastAsia" w:ascii="仿宋" w:hAnsi="仿宋" w:eastAsia="仿宋" w:cs="仿宋"/>
                <w:sz w:val="21"/>
                <w:szCs w:val="21"/>
              </w:rPr>
            </w:pPr>
            <w:r>
              <w:rPr>
                <w:rFonts w:hint="eastAsia" w:ascii="仿宋" w:hAnsi="仿宋" w:eastAsia="仿宋" w:cs="仿宋"/>
                <w:sz w:val="21"/>
                <w:szCs w:val="21"/>
              </w:rPr>
              <w:t>更改的控制</w:t>
            </w:r>
          </w:p>
          <w:p>
            <w:pPr>
              <w:rPr>
                <w:rFonts w:hint="eastAsia" w:ascii="仿宋" w:hAnsi="仿宋" w:eastAsia="仿宋" w:cs="仿宋"/>
                <w:sz w:val="21"/>
                <w:szCs w:val="21"/>
              </w:rPr>
            </w:pPr>
          </w:p>
        </w:tc>
        <w:tc>
          <w:tcPr>
            <w:tcW w:w="1166" w:type="dxa"/>
          </w:tcPr>
          <w:p>
            <w:pPr>
              <w:rPr>
                <w:rFonts w:hint="eastAsia" w:ascii="仿宋" w:hAnsi="仿宋" w:eastAsia="仿宋" w:cs="仿宋"/>
                <w:sz w:val="21"/>
                <w:szCs w:val="21"/>
              </w:rPr>
            </w:pPr>
            <w:r>
              <w:rPr>
                <w:rFonts w:hint="eastAsia" w:ascii="仿宋" w:hAnsi="仿宋" w:eastAsia="仿宋" w:cs="仿宋"/>
                <w:sz w:val="21"/>
                <w:szCs w:val="21"/>
              </w:rPr>
              <w:t>Q8.5.6</w:t>
            </w:r>
          </w:p>
        </w:tc>
        <w:tc>
          <w:tcPr>
            <w:tcW w:w="10738" w:type="dxa"/>
          </w:tcPr>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对生产服务提供的更改进行必要的评审和控制，以确保稳定的符合要求。</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组织保留形成文件的信息，包括有关更改评审结果、授权进行更改的人员以及根据评审所采取的必要措施。</w:t>
            </w:r>
          </w:p>
          <w:p>
            <w:pPr>
              <w:spacing w:beforeLines="30" w:afterLines="30" w:line="288"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经询问，目前无生产的变更。</w:t>
            </w:r>
          </w:p>
        </w:tc>
        <w:tc>
          <w:tcPr>
            <w:tcW w:w="851" w:type="dxa"/>
          </w:tcPr>
          <w:p>
            <w:pPr>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bl>
    <w:p>
      <w:pPr>
        <w:pStyle w:val="4"/>
      </w:pPr>
      <w:r>
        <w:rPr>
          <w:rFonts w:hint="eastAsia"/>
        </w:rPr>
        <w:t>说明：不符合标注</w:t>
      </w:r>
      <w:r>
        <w:t>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847279"/>
    <w:rsid w:val="180F2359"/>
    <w:rsid w:val="1E2A286E"/>
    <w:rsid w:val="32B253F5"/>
    <w:rsid w:val="3B9B0E93"/>
    <w:rsid w:val="444C7440"/>
    <w:rsid w:val="48157A6F"/>
    <w:rsid w:val="531150BD"/>
    <w:rsid w:val="5EE3407B"/>
    <w:rsid w:val="66C34AEF"/>
    <w:rsid w:val="6FE001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黑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semiHidden/>
    <w:qFormat/>
    <w:uiPriority w:val="99"/>
    <w:pPr>
      <w:spacing w:after="120"/>
      <w:ind w:left="420" w:leftChars="200"/>
    </w:p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qFormat/>
    <w:uiPriority w:val="99"/>
    <w:pPr>
      <w:spacing w:after="0"/>
      <w:ind w:left="0" w:leftChars="0" w:firstLine="420" w:firstLineChars="200"/>
      <w:jc w:val="left"/>
    </w:pPr>
    <w:rPr>
      <w:rFonts w:ascii="宋体" w:hAnsi="宋体" w:eastAsia="仿宋_GB2312"/>
      <w:color w:val="000000"/>
      <w:sz w:val="28"/>
    </w:rPr>
  </w:style>
  <w:style w:type="character" w:customStyle="1" w:styleId="9">
    <w:name w:val="页眉 Char"/>
    <w:basedOn w:val="8"/>
    <w:link w:val="5"/>
    <w:qFormat/>
    <w:uiPriority w:val="99"/>
    <w:rPr>
      <w:rFonts w:ascii="Times New Roman" w:hAnsi="Times New Roman" w:eastAsia="宋体" w:cs="Times New Roman"/>
      <w:sz w:val="18"/>
      <w:szCs w:val="18"/>
    </w:rPr>
  </w:style>
  <w:style w:type="character" w:customStyle="1" w:styleId="10">
    <w:name w:val="页脚 Char"/>
    <w:basedOn w:val="8"/>
    <w:link w:val="4"/>
    <w:qFormat/>
    <w:uiPriority w:val="99"/>
    <w:rPr>
      <w:rFonts w:ascii="Times New Roman" w:hAnsi="Times New Roman" w:eastAsia="宋体" w:cs="Times New Roman"/>
      <w:sz w:val="18"/>
      <w:szCs w:val="18"/>
    </w:rPr>
  </w:style>
  <w:style w:type="character" w:customStyle="1" w:styleId="11">
    <w:name w:val="批注框文本 Char"/>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 w:type="paragraph" w:customStyle="1" w:styleId="14">
    <w:name w:val="列出段落1"/>
    <w:basedOn w:val="1"/>
    <w:qFormat/>
    <w:uiPriority w:val="34"/>
    <w:pPr>
      <w:ind w:firstLine="420" w:firstLineChars="200"/>
    </w:pPr>
    <w:rPr>
      <w:rFonts w:asciiTheme="minorHAnsi" w:hAnsiTheme="minorHAnsi" w:eastAsiaTheme="minorEastAsia" w:cstheme="minorBidi"/>
      <w:szCs w:val="22"/>
    </w:rPr>
  </w:style>
  <w:style w:type="paragraph" w:styleId="15">
    <w:name w:val="List Paragraph"/>
    <w:basedOn w:val="1"/>
    <w:qFormat/>
    <w:uiPriority w:val="99"/>
    <w:pPr>
      <w:ind w:firstLine="420" w:firstLineChars="200"/>
    </w:pPr>
  </w:style>
  <w:style w:type="character" w:customStyle="1" w:styleId="16">
    <w:name w:val="info-content-text"/>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hb</cp:lastModifiedBy>
  <dcterms:modified xsi:type="dcterms:W3CDTF">2022-08-09T10:06:06Z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2052-11.1.0.9914</vt:lpwstr>
  </property>
</Properties>
</file>