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rPr>
            </w:pPr>
            <w:r>
              <w:rPr>
                <w:rFonts w:hint="eastAsia" w:ascii="仿宋" w:hAnsi="仿宋" w:eastAsia="仿宋" w:cs="仿宋"/>
                <w:sz w:val="24"/>
                <w:szCs w:val="24"/>
              </w:rPr>
              <w:t>抽样计划</w:t>
            </w:r>
          </w:p>
        </w:tc>
        <w:tc>
          <w:tcPr>
            <w:tcW w:w="1012"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rPr>
            </w:pPr>
            <w:r>
              <w:rPr>
                <w:rFonts w:hint="eastAsia" w:ascii="仿宋" w:hAnsi="仿宋" w:eastAsia="仿宋" w:cs="仿宋"/>
                <w:sz w:val="24"/>
                <w:szCs w:val="24"/>
              </w:rPr>
              <w:t>条款</w:t>
            </w:r>
          </w:p>
        </w:tc>
        <w:tc>
          <w:tcPr>
            <w:tcW w:w="10642"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受审核部门：设备工程部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主管领导：刘作森      陪同人员：</w:t>
            </w:r>
            <w:r>
              <w:rPr>
                <w:rFonts w:hint="eastAsia" w:ascii="仿宋" w:hAnsi="仿宋" w:eastAsia="仿宋" w:cs="仿宋"/>
                <w:sz w:val="24"/>
                <w:szCs w:val="24"/>
                <w:lang w:eastAsia="zh-CN"/>
              </w:rPr>
              <w:t>钟世斌</w:t>
            </w:r>
          </w:p>
        </w:tc>
        <w:tc>
          <w:tcPr>
            <w:tcW w:w="89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rPr>
            </w:pPr>
          </w:p>
        </w:tc>
        <w:tc>
          <w:tcPr>
            <w:tcW w:w="1012" w:type="dxa"/>
            <w:vMerge w:val="continue"/>
            <w:vAlign w:val="center"/>
          </w:tcPr>
          <w:p>
            <w:pPr>
              <w:rPr>
                <w:rFonts w:hint="eastAsia" w:ascii="仿宋" w:hAnsi="仿宋" w:eastAsia="仿宋" w:cs="仿宋"/>
              </w:rPr>
            </w:pPr>
          </w:p>
        </w:tc>
        <w:tc>
          <w:tcPr>
            <w:tcW w:w="10642" w:type="dxa"/>
            <w:vAlign w:val="center"/>
          </w:tcPr>
          <w:p>
            <w:pPr>
              <w:rPr>
                <w:rFonts w:hint="eastAsia" w:ascii="仿宋" w:hAnsi="仿宋" w:eastAsia="仿宋" w:cs="仿宋"/>
                <w:sz w:val="24"/>
                <w:szCs w:val="24"/>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强兴   </w:t>
            </w:r>
            <w:r>
              <w:rPr>
                <w:rFonts w:hint="eastAsia" w:ascii="仿宋" w:hAnsi="仿宋" w:eastAsia="仿宋" w:cs="仿宋"/>
                <w:sz w:val="24"/>
                <w:szCs w:val="24"/>
              </w:rPr>
              <w:t xml:space="preserve">             审核时间：202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tc>
        <w:tc>
          <w:tcPr>
            <w:tcW w:w="895"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rPr>
            </w:pPr>
          </w:p>
        </w:tc>
        <w:tc>
          <w:tcPr>
            <w:tcW w:w="1012" w:type="dxa"/>
            <w:vMerge w:val="continue"/>
            <w:vAlign w:val="center"/>
          </w:tcPr>
          <w:p>
            <w:pPr>
              <w:rPr>
                <w:rFonts w:hint="eastAsia" w:ascii="仿宋" w:hAnsi="仿宋" w:eastAsia="仿宋" w:cs="仿宋"/>
              </w:rPr>
            </w:pPr>
          </w:p>
        </w:tc>
        <w:tc>
          <w:tcPr>
            <w:tcW w:w="10642" w:type="dxa"/>
            <w:vAlign w:val="center"/>
          </w:tcPr>
          <w:p>
            <w:pPr>
              <w:rPr>
                <w:rFonts w:hint="eastAsia" w:ascii="仿宋" w:hAnsi="仿宋" w:eastAsia="仿宋" w:cs="仿宋"/>
                <w:sz w:val="18"/>
              </w:rPr>
            </w:pPr>
            <w:r>
              <w:rPr>
                <w:rFonts w:hint="eastAsia" w:ascii="仿宋" w:hAnsi="仿宋" w:eastAsia="仿宋" w:cs="仿宋"/>
                <w:sz w:val="18"/>
              </w:rPr>
              <w:t xml:space="preserve">审核条款： </w:t>
            </w:r>
          </w:p>
          <w:p>
            <w:pPr>
              <w:adjustRightInd w:val="0"/>
              <w:snapToGrid w:val="0"/>
              <w:ind w:right="105" w:rightChars="50"/>
              <w:jc w:val="left"/>
              <w:textAlignment w:val="baseline"/>
              <w:rPr>
                <w:rFonts w:hint="eastAsia" w:ascii="仿宋" w:hAnsi="仿宋" w:eastAsia="仿宋" w:cs="仿宋"/>
                <w:bCs/>
                <w:sz w:val="18"/>
                <w:lang w:eastAsia="zh-CN"/>
              </w:rPr>
            </w:pPr>
            <w:r>
              <w:rPr>
                <w:rFonts w:hint="eastAsia" w:ascii="仿宋" w:hAnsi="仿宋" w:eastAsia="仿宋" w:cs="仿宋"/>
                <w:sz w:val="21"/>
                <w:szCs w:val="21"/>
              </w:rPr>
              <w:t>EMS：5.3组织的岗位、职责和权限、6.2环境目标、6.1.2环境因素、8.1运行策划和控制，8.2应急准备和响应</w:t>
            </w:r>
          </w:p>
        </w:tc>
        <w:tc>
          <w:tcPr>
            <w:tcW w:w="895"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E5.3</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设备工程部职责和权限规定如下：</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a)负责制订设备工程管理规章制度、实施细则、考核标准，负责起草、修订、审核</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设备操作、维护、检修规程；</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b)负责设备设施检修计划的编制和审查，确定检修内容，组织对检修质量进行验收。</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c)负责组织设备的检修、维护及安全经济运行，负责设备及有关技改项目工程管理等。</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d)负责设备事故管理，组织重大设备事故的调查分析和处理。</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e)负责公司设备、备件采购计划的拟定，设备的选型和质量建议。</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f)负责生产设备、机电设备的专业技术管理，搞好机电技术人员、设备操作维修</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人员的技术培训。</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g)参与生产现场设备管理相关内容。</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h)参与工程建设项目的管理、工程施工、工程质量监督及工程验收和竣工资料管理。</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i)参与机电产品分供方和工程维修施工分承包方的选择和评价。</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j)参与设备、备件的质量验收等。</w:t>
            </w:r>
          </w:p>
          <w:p>
            <w:pPr>
              <w:spacing w:line="420" w:lineRule="exact"/>
              <w:ind w:firstLine="480"/>
              <w:rPr>
                <w:rFonts w:hint="eastAsia" w:ascii="仿宋" w:hAnsi="仿宋" w:eastAsia="仿宋" w:cs="仿宋"/>
                <w:sz w:val="21"/>
                <w:szCs w:val="21"/>
              </w:rPr>
            </w:pPr>
            <w:r>
              <w:rPr>
                <w:rFonts w:hint="eastAsia" w:ascii="仿宋" w:hAnsi="仿宋" w:eastAsia="仿宋" w:cs="仿宋"/>
                <w:sz w:val="21"/>
                <w:szCs w:val="21"/>
              </w:rPr>
              <w:t>询问设备工程部经理刘作森职责回答正确。</w:t>
            </w:r>
          </w:p>
          <w:p>
            <w:pPr>
              <w:pStyle w:val="2"/>
              <w:rPr>
                <w:rFonts w:hint="eastAsia" w:ascii="仿宋" w:hAnsi="仿宋" w:eastAsia="仿宋" w:cs="仿宋"/>
                <w:bCs w:val="0"/>
                <w:spacing w:val="0"/>
                <w:sz w:val="21"/>
                <w:szCs w:val="21"/>
              </w:rPr>
            </w:pPr>
          </w:p>
        </w:tc>
        <w:tc>
          <w:tcPr>
            <w:tcW w:w="895"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160" w:type="dxa"/>
          </w:tcPr>
          <w:p>
            <w:pPr>
              <w:spacing w:line="280" w:lineRule="exact"/>
              <w:rPr>
                <w:rFonts w:hint="eastAsia" w:ascii="仿宋" w:hAnsi="仿宋" w:eastAsia="仿宋" w:cs="仿宋"/>
                <w:szCs w:val="21"/>
              </w:rPr>
            </w:pPr>
            <w:r>
              <w:rPr>
                <w:rFonts w:hint="eastAsia" w:ascii="仿宋" w:hAnsi="仿宋" w:eastAsia="仿宋" w:cs="仿宋"/>
                <w:szCs w:val="21"/>
              </w:rPr>
              <w:t>环境因素</w:t>
            </w:r>
          </w:p>
        </w:tc>
        <w:tc>
          <w:tcPr>
            <w:tcW w:w="1012" w:type="dxa"/>
          </w:tcPr>
          <w:p>
            <w:pPr>
              <w:spacing w:line="280" w:lineRule="exact"/>
              <w:rPr>
                <w:rFonts w:hint="eastAsia" w:ascii="仿宋" w:hAnsi="仿宋" w:eastAsia="仿宋" w:cs="仿宋"/>
                <w:szCs w:val="21"/>
              </w:rPr>
            </w:pPr>
            <w:r>
              <w:rPr>
                <w:rFonts w:hint="eastAsia" w:ascii="仿宋" w:hAnsi="仿宋" w:eastAsia="仿宋" w:cs="仿宋"/>
                <w:szCs w:val="21"/>
              </w:rPr>
              <w:t>E6.1.2</w:t>
            </w:r>
          </w:p>
        </w:tc>
        <w:tc>
          <w:tcPr>
            <w:tcW w:w="10642" w:type="dxa"/>
            <w:vAlign w:val="center"/>
          </w:tcPr>
          <w:p>
            <w:pPr>
              <w:spacing w:line="280" w:lineRule="exact"/>
              <w:ind w:firstLine="420" w:firstLineChars="200"/>
              <w:rPr>
                <w:rFonts w:hint="eastAsia" w:ascii="仿宋" w:hAnsi="仿宋" w:eastAsia="仿宋" w:cs="仿宋"/>
              </w:rPr>
            </w:pPr>
            <w:r>
              <w:rPr>
                <w:rFonts w:hint="eastAsia" w:ascii="仿宋" w:hAnsi="仿宋" w:eastAsia="仿宋" w:cs="仿宋"/>
                <w:bCs/>
              </w:rPr>
              <w:t>设备工程部提供了</w:t>
            </w:r>
            <w:r>
              <w:rPr>
                <w:rFonts w:hint="eastAsia" w:ascii="仿宋" w:hAnsi="仿宋" w:eastAsia="仿宋" w:cs="仿宋"/>
              </w:rPr>
              <w:t>环境因素识别与评价表，共识别出环境因素31条，包括废电线的废弃、</w:t>
            </w:r>
            <w:r>
              <w:rPr>
                <w:rFonts w:hint="eastAsia" w:ascii="仿宋" w:hAnsi="仿宋" w:eastAsia="仿宋" w:cs="仿宋"/>
                <w:bCs/>
              </w:rPr>
              <w:t>润滑油脂的废弃</w:t>
            </w:r>
            <w:r>
              <w:rPr>
                <w:rFonts w:hint="eastAsia" w:ascii="仿宋" w:hAnsi="仿宋" w:eastAsia="仿宋" w:cs="仿宋"/>
              </w:rPr>
              <w:t>等，共评价出重要环境因素6条，制定了相应的控制措施。</w:t>
            </w:r>
          </w:p>
          <w:p>
            <w:pPr>
              <w:spacing w:line="280" w:lineRule="exact"/>
              <w:ind w:firstLine="420" w:firstLineChars="200"/>
              <w:rPr>
                <w:rFonts w:hint="eastAsia" w:ascii="仿宋" w:hAnsi="仿宋" w:eastAsia="仿宋" w:cs="仿宋"/>
              </w:rPr>
            </w:pPr>
            <w:r>
              <w:rPr>
                <w:rFonts w:hint="eastAsia" w:ascii="仿宋" w:hAnsi="仿宋" w:eastAsia="仿宋" w:cs="仿宋"/>
                <w:bCs/>
              </w:rPr>
              <w:t>控制措施有效。</w:t>
            </w:r>
          </w:p>
        </w:tc>
        <w:tc>
          <w:tcPr>
            <w:tcW w:w="895" w:type="dxa"/>
          </w:tcPr>
          <w:p>
            <w:pPr>
              <w:rPr>
                <w:rFonts w:hint="eastAsia" w:ascii="仿宋" w:hAnsi="仿宋" w:eastAsia="仿宋" w:cs="仿宋"/>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仿宋" w:hAnsi="仿宋" w:eastAsia="仿宋" w:cs="仿宋"/>
                <w:szCs w:val="21"/>
              </w:rPr>
            </w:pPr>
            <w:r>
              <w:rPr>
                <w:rFonts w:hint="eastAsia" w:ascii="仿宋" w:hAnsi="仿宋" w:eastAsia="仿宋" w:cs="仿宋"/>
                <w:szCs w:val="21"/>
              </w:rPr>
              <w:t>环境目标</w:t>
            </w:r>
          </w:p>
          <w:p>
            <w:pPr>
              <w:spacing w:line="280" w:lineRule="exact"/>
              <w:rPr>
                <w:rFonts w:hint="eastAsia" w:ascii="仿宋" w:hAnsi="仿宋" w:eastAsia="仿宋" w:cs="仿宋"/>
                <w:szCs w:val="21"/>
              </w:rPr>
            </w:pPr>
          </w:p>
        </w:tc>
        <w:tc>
          <w:tcPr>
            <w:tcW w:w="1012" w:type="dxa"/>
          </w:tcPr>
          <w:p>
            <w:pPr>
              <w:spacing w:line="280" w:lineRule="exact"/>
              <w:rPr>
                <w:rFonts w:hint="eastAsia" w:ascii="仿宋" w:hAnsi="仿宋" w:eastAsia="仿宋" w:cs="仿宋"/>
                <w:szCs w:val="21"/>
              </w:rPr>
            </w:pPr>
            <w:r>
              <w:rPr>
                <w:rFonts w:hint="eastAsia" w:ascii="仿宋" w:hAnsi="仿宋" w:eastAsia="仿宋" w:cs="仿宋"/>
                <w:szCs w:val="21"/>
              </w:rPr>
              <w:t>E6.2</w:t>
            </w:r>
          </w:p>
          <w:p>
            <w:pPr>
              <w:spacing w:line="280" w:lineRule="exact"/>
              <w:rPr>
                <w:rFonts w:hint="eastAsia" w:ascii="仿宋" w:hAnsi="仿宋" w:eastAsia="仿宋" w:cs="仿宋"/>
                <w:szCs w:val="21"/>
              </w:rPr>
            </w:pPr>
          </w:p>
        </w:tc>
        <w:tc>
          <w:tcPr>
            <w:tcW w:w="10642" w:type="dxa"/>
            <w:vAlign w:val="center"/>
          </w:tcPr>
          <w:p>
            <w:pPr>
              <w:spacing w:line="280" w:lineRule="exact"/>
              <w:ind w:firstLine="420" w:firstLineChars="200"/>
              <w:rPr>
                <w:rFonts w:hint="eastAsia" w:ascii="仿宋" w:hAnsi="仿宋" w:eastAsia="仿宋" w:cs="仿宋"/>
              </w:rPr>
            </w:pPr>
            <w:r>
              <w:rPr>
                <w:rFonts w:hint="eastAsia" w:ascii="仿宋" w:hAnsi="仿宋" w:eastAsia="仿宋" w:cs="仿宋"/>
              </w:rPr>
              <w:t>公司对管理体系所需的相关职能、层次和过程设定管理目标。</w:t>
            </w:r>
          </w:p>
          <w:p>
            <w:pPr>
              <w:spacing w:line="280" w:lineRule="exact"/>
              <w:ind w:firstLine="420" w:firstLineChars="200"/>
              <w:rPr>
                <w:rFonts w:hint="eastAsia" w:ascii="仿宋" w:hAnsi="仿宋" w:eastAsia="仿宋" w:cs="仿宋"/>
              </w:rPr>
            </w:pPr>
            <w:r>
              <w:rPr>
                <w:rFonts w:hint="eastAsia" w:ascii="仿宋" w:hAnsi="仿宋" w:eastAsia="仿宋" w:cs="仿宋"/>
              </w:rPr>
              <w:t>设备工程部管理目标是：</w:t>
            </w:r>
          </w:p>
          <w:p>
            <w:pPr>
              <w:pStyle w:val="13"/>
              <w:spacing w:line="280" w:lineRule="exact"/>
              <w:ind w:left="1680" w:firstLine="0" w:firstLineChars="0"/>
              <w:rPr>
                <w:rFonts w:hint="eastAsia" w:ascii="仿宋" w:hAnsi="仿宋" w:eastAsia="仿宋" w:cs="仿宋"/>
                <w:kern w:val="0"/>
              </w:rPr>
            </w:pPr>
            <w:r>
              <w:rPr>
                <w:rFonts w:hint="eastAsia" w:ascii="仿宋" w:hAnsi="仿宋" w:eastAsia="仿宋" w:cs="仿宋"/>
                <w:kern w:val="0"/>
              </w:rPr>
              <w:t>1、办公垃圾分类排放，检查合格率100%；</w:t>
            </w:r>
          </w:p>
          <w:p>
            <w:pPr>
              <w:spacing w:line="280" w:lineRule="exact"/>
              <w:ind w:left="1680"/>
              <w:rPr>
                <w:rFonts w:hint="eastAsia" w:ascii="仿宋" w:hAnsi="仿宋" w:eastAsia="仿宋" w:cs="仿宋"/>
                <w:kern w:val="0"/>
              </w:rPr>
            </w:pPr>
            <w:r>
              <w:rPr>
                <w:rFonts w:hint="eastAsia" w:ascii="仿宋" w:hAnsi="仿宋" w:eastAsia="仿宋" w:cs="仿宋"/>
                <w:kern w:val="0"/>
              </w:rPr>
              <w:t>2、火灾事故为0</w:t>
            </w:r>
          </w:p>
          <w:p>
            <w:pPr>
              <w:spacing w:line="280" w:lineRule="exact"/>
              <w:ind w:left="1680"/>
              <w:rPr>
                <w:rFonts w:hint="eastAsia" w:ascii="仿宋" w:hAnsi="仿宋" w:eastAsia="仿宋" w:cs="仿宋"/>
              </w:rPr>
            </w:pPr>
            <w:r>
              <w:rPr>
                <w:rFonts w:hint="eastAsia" w:ascii="仿宋" w:hAnsi="仿宋" w:eastAsia="仿宋" w:cs="仿宋"/>
              </w:rPr>
              <w:t>目标可测量，与公司管理方针一致。</w:t>
            </w:r>
          </w:p>
          <w:p>
            <w:pPr>
              <w:spacing w:line="280" w:lineRule="exact"/>
              <w:rPr>
                <w:rFonts w:hint="eastAsia" w:ascii="仿宋" w:hAnsi="仿宋" w:eastAsia="仿宋" w:cs="仿宋"/>
              </w:rPr>
            </w:pPr>
            <w:r>
              <w:rPr>
                <w:rFonts w:hint="eastAsia" w:ascii="仿宋" w:hAnsi="仿宋" w:eastAsia="仿宋" w:cs="仿宋"/>
              </w:rPr>
              <w:t>每年由行政人事部按公司管理目标考核要求统计考核公司管理目标完成情况，提交管理评审会议。查到202</w:t>
            </w:r>
            <w:r>
              <w:rPr>
                <w:rFonts w:hint="eastAsia" w:ascii="仿宋" w:hAnsi="仿宋" w:eastAsia="仿宋" w:cs="仿宋"/>
                <w:lang w:val="en-US" w:eastAsia="zh-CN"/>
              </w:rPr>
              <w:t>2.6.30日</w:t>
            </w:r>
            <w:r>
              <w:rPr>
                <w:rFonts w:hint="eastAsia" w:ascii="仿宋" w:hAnsi="仿宋" w:eastAsia="仿宋" w:cs="仿宋"/>
              </w:rPr>
              <w:t>设备工程部管理目标完成情况，各项目标均已完成。</w:t>
            </w:r>
          </w:p>
          <w:p>
            <w:pPr>
              <w:spacing w:line="280" w:lineRule="exact"/>
              <w:ind w:firstLine="420" w:firstLineChars="200"/>
              <w:rPr>
                <w:rFonts w:hint="eastAsia" w:ascii="仿宋" w:hAnsi="仿宋" w:eastAsia="仿宋" w:cs="仿宋"/>
              </w:rPr>
            </w:pPr>
            <w:r>
              <w:rPr>
                <w:rFonts w:hint="eastAsia" w:ascii="仿宋" w:hAnsi="仿宋" w:eastAsia="仿宋" w:cs="仿宋"/>
              </w:rPr>
              <w:t>针对重要环境因素、不可接受风险制订了管理方案并予以实施，基本有效。</w:t>
            </w:r>
          </w:p>
        </w:tc>
        <w:tc>
          <w:tcPr>
            <w:tcW w:w="895" w:type="dxa"/>
          </w:tcPr>
          <w:p>
            <w:pPr>
              <w:rPr>
                <w:rFonts w:hint="eastAsia" w:ascii="仿宋" w:hAnsi="仿宋" w:eastAsia="仿宋" w:cs="仿宋"/>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hint="eastAsia" w:ascii="仿宋" w:hAnsi="仿宋" w:eastAsia="仿宋" w:cs="仿宋"/>
              </w:rPr>
            </w:pPr>
            <w:r>
              <w:rPr>
                <w:rFonts w:hint="eastAsia" w:ascii="仿宋" w:hAnsi="仿宋" w:eastAsia="仿宋" w:cs="仿宋"/>
                <w:szCs w:val="21"/>
              </w:rPr>
              <w:t>运行控制</w:t>
            </w:r>
          </w:p>
        </w:tc>
        <w:tc>
          <w:tcPr>
            <w:tcW w:w="1012" w:type="dxa"/>
            <w:vAlign w:val="center"/>
          </w:tcPr>
          <w:p>
            <w:pPr>
              <w:rPr>
                <w:rFonts w:hint="eastAsia" w:ascii="仿宋" w:hAnsi="仿宋" w:eastAsia="仿宋" w:cs="仿宋"/>
                <w:szCs w:val="21"/>
              </w:rPr>
            </w:pPr>
            <w:r>
              <w:rPr>
                <w:rFonts w:hint="eastAsia" w:ascii="仿宋" w:hAnsi="仿宋" w:eastAsia="仿宋" w:cs="仿宋"/>
                <w:szCs w:val="21"/>
              </w:rPr>
              <w:t>E8.1</w:t>
            </w:r>
          </w:p>
          <w:p>
            <w:pPr>
              <w:rPr>
                <w:rFonts w:hint="eastAsia" w:ascii="仿宋" w:hAnsi="仿宋" w:eastAsia="仿宋" w:cs="仿宋"/>
              </w:rPr>
            </w:pPr>
          </w:p>
        </w:tc>
        <w:tc>
          <w:tcPr>
            <w:tcW w:w="10642" w:type="dxa"/>
            <w:vAlign w:val="center"/>
          </w:tcPr>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r>
              <w:rPr>
                <w:rFonts w:hint="eastAsia" w:ascii="仿宋" w:hAnsi="仿宋" w:eastAsia="仿宋" w:cs="仿宋"/>
                <w:szCs w:val="21"/>
              </w:rPr>
              <w:t>本部门执行废弃物控制程序、环境运行控制程序等。</w:t>
            </w:r>
          </w:p>
          <w:p>
            <w:pPr>
              <w:ind w:firstLine="420" w:firstLineChars="200"/>
              <w:rPr>
                <w:rFonts w:hint="eastAsia" w:ascii="仿宋" w:hAnsi="仿宋" w:eastAsia="仿宋" w:cs="仿宋"/>
                <w:szCs w:val="21"/>
                <w:lang w:val="en-GB"/>
              </w:rPr>
            </w:pPr>
            <w:r>
              <w:rPr>
                <w:rFonts w:hint="eastAsia" w:ascii="仿宋" w:hAnsi="仿宋" w:eastAsia="仿宋" w:cs="仿宋"/>
                <w:szCs w:val="21"/>
                <w:lang w:val="en-GB"/>
              </w:rPr>
              <w:t>运行控制情况：办公过程注意节约用电，做到人走灯灭，电脑长时间不用时关机，下班前要关闭电源。</w:t>
            </w:r>
          </w:p>
          <w:p>
            <w:pPr>
              <w:ind w:firstLine="420" w:firstLineChars="200"/>
              <w:rPr>
                <w:rFonts w:hint="eastAsia" w:ascii="仿宋" w:hAnsi="仿宋" w:eastAsia="仿宋" w:cs="仿宋"/>
                <w:szCs w:val="21"/>
                <w:lang w:val="en-GB"/>
              </w:rPr>
            </w:pPr>
            <w:r>
              <w:rPr>
                <w:rFonts w:hint="eastAsia" w:ascii="仿宋" w:hAnsi="仿宋" w:eastAsia="仿宋" w:cs="仿宋"/>
                <w:szCs w:val="21"/>
              </w:rPr>
              <w:t>办公过程使用的电器如：空调、电脑、灯具均符合安全设计要求，使用过程注意安全，预防触电，工作时间平均每天8小时；</w:t>
            </w:r>
          </w:p>
          <w:p>
            <w:pPr>
              <w:ind w:firstLine="420" w:firstLineChars="200"/>
              <w:rPr>
                <w:rFonts w:hint="eastAsia" w:ascii="仿宋" w:hAnsi="仿宋" w:eastAsia="仿宋" w:cs="仿宋"/>
                <w:szCs w:val="21"/>
                <w:lang w:val="en-GB"/>
              </w:rPr>
            </w:pPr>
            <w:r>
              <w:rPr>
                <w:rFonts w:hint="eastAsia" w:ascii="仿宋" w:hAnsi="仿宋" w:eastAsia="仿宋" w:cs="仿宋"/>
                <w:szCs w:val="21"/>
                <w:lang w:val="en-GB"/>
              </w:rPr>
              <w:t>办公用品按要求由</w:t>
            </w:r>
            <w:r>
              <w:rPr>
                <w:rFonts w:hint="eastAsia" w:ascii="仿宋" w:hAnsi="仿宋" w:eastAsia="仿宋" w:cs="仿宋"/>
                <w:szCs w:val="21"/>
              </w:rPr>
              <w:t>行政人事部</w:t>
            </w:r>
            <w:r>
              <w:rPr>
                <w:rFonts w:hint="eastAsia" w:ascii="仿宋" w:hAnsi="仿宋" w:eastAsia="仿宋" w:cs="仿宋"/>
                <w:szCs w:val="21"/>
                <w:lang w:val="en-GB"/>
              </w:rPr>
              <w:t>负责发放，作好记录；</w:t>
            </w:r>
          </w:p>
          <w:p>
            <w:pPr>
              <w:ind w:firstLine="420" w:firstLineChars="200"/>
              <w:rPr>
                <w:rFonts w:hint="eastAsia" w:ascii="仿宋" w:hAnsi="仿宋" w:eastAsia="仿宋" w:cs="仿宋"/>
                <w:szCs w:val="21"/>
                <w:lang w:val="en-GB"/>
              </w:rPr>
            </w:pPr>
            <w:r>
              <w:rPr>
                <w:rFonts w:hint="eastAsia" w:ascii="仿宋" w:hAnsi="仿宋" w:eastAsia="仿宋" w:cs="仿宋"/>
                <w:szCs w:val="21"/>
                <w:lang w:val="en-GB"/>
              </w:rPr>
              <w:t>相关方施加影响：公司识别了相关方的环境因素，并进行了控制。</w:t>
            </w:r>
          </w:p>
          <w:p>
            <w:pPr>
              <w:pStyle w:val="2"/>
              <w:ind w:firstLine="420" w:firstLineChars="200"/>
              <w:rPr>
                <w:rFonts w:hint="eastAsia" w:ascii="仿宋" w:hAnsi="仿宋" w:eastAsia="仿宋" w:cs="仿宋"/>
                <w:szCs w:val="21"/>
                <w:lang w:eastAsia="zh-CN"/>
              </w:rPr>
            </w:pPr>
            <w:r>
              <w:rPr>
                <w:rFonts w:hint="eastAsia" w:ascii="仿宋" w:hAnsi="仿宋" w:eastAsia="仿宋" w:cs="仿宋"/>
                <w:bCs w:val="0"/>
                <w:spacing w:val="0"/>
                <w:szCs w:val="21"/>
              </w:rPr>
              <w:t>提供了</w:t>
            </w:r>
            <w:r>
              <w:rPr>
                <w:rFonts w:hint="eastAsia" w:ascii="仿宋" w:hAnsi="仿宋" w:eastAsia="仿宋" w:cs="仿宋"/>
                <w:szCs w:val="21"/>
              </w:rPr>
              <w:t>环境管理方案实施情况检查记录表</w:t>
            </w:r>
            <w:r>
              <w:rPr>
                <w:rFonts w:hint="eastAsia" w:ascii="仿宋" w:hAnsi="仿宋" w:eastAsia="仿宋" w:cs="仿宋"/>
                <w:bCs w:val="0"/>
                <w:spacing w:val="0"/>
                <w:szCs w:val="21"/>
              </w:rPr>
              <w:t>，抽查：噪声的控制措施实施情况</w:t>
            </w:r>
            <w:r>
              <w:rPr>
                <w:rFonts w:hint="eastAsia" w:ascii="仿宋" w:hAnsi="仿宋" w:eastAsia="仿宋" w:cs="仿宋"/>
                <w:bCs w:val="0"/>
                <w:spacing w:val="0"/>
                <w:szCs w:val="21"/>
                <w:lang w:eastAsia="zh-CN"/>
              </w:rPr>
              <w:t>。</w:t>
            </w:r>
          </w:p>
        </w:tc>
        <w:tc>
          <w:tcPr>
            <w:tcW w:w="895" w:type="dxa"/>
          </w:tcPr>
          <w:p>
            <w:pPr>
              <w:rPr>
                <w:rFonts w:hint="eastAsia" w:ascii="仿宋" w:hAnsi="仿宋" w:eastAsia="仿宋" w:cs="仿宋"/>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hint="eastAsia" w:ascii="仿宋" w:hAnsi="仿宋" w:eastAsia="仿宋" w:cs="仿宋"/>
              </w:rPr>
            </w:pPr>
            <w:r>
              <w:rPr>
                <w:rFonts w:hint="eastAsia" w:ascii="仿宋" w:hAnsi="仿宋" w:eastAsia="仿宋" w:cs="仿宋"/>
                <w:szCs w:val="21"/>
              </w:rPr>
              <w:t>应急准备和响应</w:t>
            </w:r>
          </w:p>
        </w:tc>
        <w:tc>
          <w:tcPr>
            <w:tcW w:w="1012" w:type="dxa"/>
            <w:vAlign w:val="center"/>
          </w:tcPr>
          <w:p>
            <w:pPr>
              <w:rPr>
                <w:rFonts w:hint="eastAsia" w:ascii="仿宋" w:hAnsi="仿宋" w:eastAsia="仿宋" w:cs="仿宋"/>
                <w:szCs w:val="21"/>
              </w:rPr>
            </w:pPr>
            <w:r>
              <w:rPr>
                <w:rFonts w:hint="eastAsia" w:ascii="仿宋" w:hAnsi="仿宋" w:eastAsia="仿宋" w:cs="仿宋"/>
                <w:szCs w:val="21"/>
              </w:rPr>
              <w:t>E8.2</w:t>
            </w:r>
          </w:p>
        </w:tc>
        <w:tc>
          <w:tcPr>
            <w:tcW w:w="10642" w:type="dxa"/>
            <w:vAlign w:val="center"/>
          </w:tcPr>
          <w:p>
            <w:pPr>
              <w:ind w:firstLine="420" w:firstLineChars="200"/>
              <w:rPr>
                <w:rFonts w:hint="eastAsia" w:ascii="仿宋" w:hAnsi="仿宋" w:eastAsia="仿宋" w:cs="仿宋"/>
                <w:szCs w:val="21"/>
              </w:rPr>
            </w:pPr>
            <w:r>
              <w:rPr>
                <w:rFonts w:hint="eastAsia" w:ascii="仿宋" w:hAnsi="仿宋" w:eastAsia="仿宋" w:cs="仿宋"/>
                <w:szCs w:val="21"/>
              </w:rPr>
              <w:t>提供了紧急事故预防应急办法，制定了预防措施和应急措施。</w:t>
            </w:r>
          </w:p>
          <w:p>
            <w:pPr>
              <w:ind w:firstLine="420" w:firstLineChars="200"/>
              <w:rPr>
                <w:rFonts w:hint="eastAsia" w:ascii="仿宋" w:hAnsi="仿宋" w:eastAsia="仿宋" w:cs="仿宋"/>
                <w:szCs w:val="21"/>
                <w:lang w:val="en-GB"/>
              </w:rPr>
            </w:pPr>
            <w:r>
              <w:rPr>
                <w:rFonts w:hint="eastAsia" w:ascii="仿宋" w:hAnsi="仿宋" w:eastAsia="仿宋" w:cs="仿宋"/>
                <w:szCs w:val="21"/>
                <w:lang w:val="en-GB"/>
              </w:rPr>
              <w:t>制定了《应急准备和响应控制程序》，包含有事件级别及不同级别事件的处理程序、事件处理组织机构及职责分工、通用及特殊处理程序、各岗位要求等。具有可操作性。</w:t>
            </w:r>
          </w:p>
          <w:p>
            <w:pPr>
              <w:pStyle w:val="2"/>
              <w:ind w:firstLine="460" w:firstLineChars="200"/>
              <w:rPr>
                <w:rFonts w:hint="eastAsia" w:ascii="仿宋" w:hAnsi="仿宋" w:eastAsia="仿宋" w:cs="仿宋"/>
                <w:szCs w:val="21"/>
                <w:lang w:val="en-GB"/>
              </w:rPr>
            </w:pPr>
            <w:r>
              <w:rPr>
                <w:rFonts w:hint="eastAsia" w:ascii="仿宋" w:hAnsi="仿宋" w:eastAsia="仿宋" w:cs="仿宋"/>
                <w:szCs w:val="21"/>
                <w:lang w:val="en-GB"/>
              </w:rPr>
              <w:t>应急预案不重要修订。</w:t>
            </w:r>
            <w:r>
              <w:rPr>
                <w:rFonts w:hint="eastAsia" w:ascii="仿宋" w:hAnsi="仿宋" w:eastAsia="仿宋" w:cs="仿宋"/>
                <w:szCs w:val="24"/>
              </w:rPr>
              <w:t>自体系运行以来尚未发生紧急情况。</w:t>
            </w:r>
          </w:p>
          <w:p>
            <w:pPr>
              <w:spacing w:line="360" w:lineRule="atLeast"/>
              <w:ind w:firstLine="420" w:firstLineChars="200"/>
              <w:rPr>
                <w:rFonts w:hint="eastAsia" w:ascii="仿宋" w:hAnsi="仿宋" w:eastAsia="仿宋" w:cs="仿宋"/>
              </w:rPr>
            </w:pPr>
            <w:r>
              <w:rPr>
                <w:rFonts w:hint="eastAsia" w:ascii="仿宋" w:hAnsi="仿宋" w:eastAsia="仿宋" w:cs="仿宋"/>
                <w:sz w:val="21"/>
                <w:szCs w:val="21"/>
                <w:lang w:val="en-GB"/>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28日</w:t>
            </w:r>
            <w:r>
              <w:rPr>
                <w:rFonts w:hint="eastAsia" w:ascii="仿宋" w:hAnsi="仿宋" w:eastAsia="仿宋" w:cs="仿宋"/>
              </w:rPr>
              <w:t>设备工程部参与了此次</w:t>
            </w:r>
            <w:r>
              <w:rPr>
                <w:rFonts w:hint="eastAsia" w:ascii="仿宋" w:hAnsi="仿宋" w:eastAsia="仿宋" w:cs="仿宋"/>
                <w:lang w:val="en-US" w:eastAsia="zh-CN"/>
              </w:rPr>
              <w:t>火灾</w:t>
            </w:r>
            <w:bookmarkStart w:id="0" w:name="_GoBack"/>
            <w:bookmarkEnd w:id="0"/>
            <w:r>
              <w:rPr>
                <w:rFonts w:hint="eastAsia" w:ascii="仿宋" w:hAnsi="仿宋" w:eastAsia="仿宋" w:cs="仿宋"/>
              </w:rPr>
              <w:t>演练。</w:t>
            </w:r>
          </w:p>
        </w:tc>
        <w:tc>
          <w:tcPr>
            <w:tcW w:w="895" w:type="dxa"/>
          </w:tcPr>
          <w:p>
            <w:pPr>
              <w:rPr>
                <w:rFonts w:hint="eastAsia" w:ascii="仿宋" w:hAnsi="仿宋" w:eastAsia="仿宋" w:cs="仿宋"/>
              </w:rPr>
            </w:pPr>
            <w:r>
              <w:rPr>
                <w:rFonts w:hint="eastAsia" w:ascii="仿宋" w:hAnsi="仿宋" w:eastAsia="仿宋" w:cs="仿宋"/>
                <w:lang w:val="en-US" w:eastAsia="zh-CN"/>
              </w:rPr>
              <w:t>符合</w:t>
            </w:r>
          </w:p>
        </w:tc>
      </w:tr>
    </w:tbl>
    <w:p>
      <w:pPr>
        <w:rPr>
          <w:rFonts w:hint="eastAsia" w:ascii="仿宋" w:hAnsi="仿宋" w:eastAsia="仿宋" w:cs="仿宋"/>
        </w:rPr>
      </w:pPr>
      <w:r>
        <w:rPr>
          <w:rFonts w:hint="eastAsia" w:ascii="仿宋" w:hAnsi="仿宋" w:eastAsia="仿宋" w:cs="仿宋"/>
        </w:rPr>
        <w:t>说明：不符合标注N</w:t>
      </w:r>
    </w:p>
    <w:p>
      <w:pPr>
        <w:rPr>
          <w:rFonts w:hint="eastAsia" w:ascii="仿宋" w:hAnsi="仿宋" w:eastAsia="仿宋" w:cs="仿宋"/>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B02C1"/>
    <w:rsid w:val="0B123CD4"/>
    <w:rsid w:val="204B3076"/>
    <w:rsid w:val="2D7433C3"/>
    <w:rsid w:val="3E0C17CC"/>
    <w:rsid w:val="470A4EB6"/>
    <w:rsid w:val="5D976F12"/>
    <w:rsid w:val="64212223"/>
    <w:rsid w:val="645E71A5"/>
    <w:rsid w:val="663A7034"/>
    <w:rsid w:val="68E80D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2022-08-12T08:04:17Z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