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311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过程与活动、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涉及条款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受审核部门：行政人事部   主管领导：王建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陪同人员：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钟世斌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809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审核员：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强兴 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审核时间：202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2.8.3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809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审核条款：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EMS: 5.3组织的岗位、职责和权限、6.2.1环境目标、6.2.2实现环境目标措施的策划，6.1.2环境因素的识别与评价、8.1运行策划和控制、8.2应急准备和响应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组织的岗位、职责和权限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E： 5.3</w:t>
            </w:r>
          </w:p>
        </w:tc>
        <w:tc>
          <w:tcPr>
            <w:tcW w:w="10004" w:type="dxa"/>
          </w:tcPr>
          <w:p>
            <w:pPr>
              <w:spacing w:line="420" w:lineRule="exact"/>
              <w:ind w:firstLine="57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现场审核过程了解到行政人事部主要负责：</w:t>
            </w:r>
          </w:p>
          <w:p>
            <w:pPr>
              <w:spacing w:line="420" w:lineRule="exact"/>
              <w:ind w:firstLine="57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环境安全目标方案的制定实施，办公用品的管理，信息交流与沟通，人力资源配备，员工招聘、绩效考核管理；劳动合同保险管理；后勤事务管理；企业知识的识别更新传递；；环境因素和危险源进行识别和控制；应急准备和相应控制等</w:t>
            </w:r>
          </w:p>
          <w:p>
            <w:pPr>
              <w:spacing w:line="420" w:lineRule="exact"/>
              <w:ind w:firstLine="57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经与经理交流发现其对部门职责权限基本掌握，部门职责得到合理分配，未发现因职责不清责任不明而造成体系运行失效的情况。</w:t>
            </w:r>
          </w:p>
        </w:tc>
        <w:tc>
          <w:tcPr>
            <w:tcW w:w="1585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809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目标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E:6.2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部门目标：</w:t>
            </w:r>
          </w:p>
          <w:p>
            <w:pPr>
              <w:pStyle w:val="12"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年度培训计划执行率100％</w:t>
            </w:r>
          </w:p>
          <w:p>
            <w:pPr>
              <w:pStyle w:val="12"/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办公垃圾分类排放，检查合格率100%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；</w:t>
            </w:r>
          </w:p>
          <w:p>
            <w:pPr>
              <w:pStyle w:val="12"/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火灾事故为0；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2.6.30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月考核情况：经查已完成。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抽环境目标管理方案，明确了措施、责任人、时间、资金投入要求。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管理方案由责任部门组织实施，目前在实施中，部分已完成。</w:t>
            </w:r>
          </w:p>
        </w:tc>
        <w:tc>
          <w:tcPr>
            <w:tcW w:w="1585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809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环境因素辨识与评价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E：6.1.2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查有：《环境因素识别、评价和更新控制程序》。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行政人事部主要统筹负责识别评价相关的环境因素及危险源。根据办公区、生产过程、检验过程、采购过程、销售过程等环节识别，由品保部汇总。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查“环境因素辨识和评价登记表”，识别考虑了正常、异常、紧急，过去、现在、未来三种时态。涉及行政人事部部的环境因素有生活垃圾的处置不当污染环境、办公场所吸烟污染环境、复印机打印机废墨盒处置污染环境、火灾发生后废弃物污染大气、水土等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采取多因子评价法进行了评价，查到“重要环境因素清单”，评价出噪音排放、潜在火灾、固废排放为重要环境因素。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经评价行政人事部的重要环境因素为：日常办公过程中固废排放、潜在火灾的发生。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主要控制措施：办公危废交耗材供应公司，生活垃圾由物业部门拉走，加强日常培训，日常检查，配备消防器材等措施。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部门识别和评价基本充分，符合规定要求。</w:t>
            </w:r>
          </w:p>
        </w:tc>
        <w:tc>
          <w:tcPr>
            <w:tcW w:w="1585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809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运行策划和控制</w:t>
            </w:r>
          </w:p>
        </w:tc>
        <w:tc>
          <w:tcPr>
            <w:tcW w:w="1311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E： 8.1</w:t>
            </w:r>
          </w:p>
        </w:tc>
        <w:tc>
          <w:tcPr>
            <w:tcW w:w="10004" w:type="dxa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公司制定并实施了编制并实施了环境控制程序和管理制度，有关的文件有《管理运行控制程序》、《节约用水管理规定》、《垃圾管理规定》、《消防控制程序》《应急预案》等。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企业注册地址江西省赣州经济技术开发区工业园，经营地址：江西省赣州市经济技术开发区香江大道168号5栋，公司四周是其他企业，无重大敏感区，根据体系运行的需要设置了生产区、办公区。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行政人事部定期组织环保和安全知识培训，员工具备了基本的环保和职业健康安全防护意识。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■用电：照明、空调、设备运行——人走关灯、断电、营业温度适宜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；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■用水：不跑冒滴漏，随手关水龙头；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■废水：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生活污水直接排入市政污水管网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■废气：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无废气产生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■噪声：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无噪音产生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；</w:t>
            </w:r>
          </w:p>
          <w:p>
            <w:pPr>
              <w:rPr>
                <w:rFonts w:hint="eastAsia" w:ascii="仿宋" w:hAnsi="仿宋" w:eastAsia="仿宋" w:cs="仿宋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■消防：有消防栓、灭火器（干粉、水基）；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对消防设施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定期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检查的记录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■特种设备的使用：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电梯、储气罐，已检测，报告见附件。</w:t>
            </w:r>
          </w:p>
          <w:p>
            <w:pPr>
              <w:pStyle w:val="2"/>
              <w:jc w:val="left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查运行检查记录：</w:t>
            </w:r>
            <w:bookmarkEnd w:id="0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705475" cy="2407285"/>
                  <wp:effectExtent l="0" t="0" r="9525" b="5715"/>
                  <wp:docPr id="2" name="图片 2" descr="微信图片_2022081110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8111050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671185" cy="2437765"/>
                  <wp:effectExtent l="0" t="0" r="5715" b="635"/>
                  <wp:docPr id="3" name="图片 3" descr="消防器材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消防器材1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drawing>
                <wp:inline distT="0" distB="0" distL="114300" distR="114300">
                  <wp:extent cx="5790565" cy="2637790"/>
                  <wp:effectExtent l="0" t="0" r="635" b="3810"/>
                  <wp:docPr id="5" name="图片 5" descr="微信图片_2022081110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08111052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565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行政人事部垃圾主要包含可回收垃圾、硒鼓、废纸。公司配置了垃圾箱，行政人事部统一处理。对可回收的固体废弃物，一部分由厂家回收，厂家不回收的公司统一回收再利用或由物资回收公司处理，不可回收的废弃物由环卫部门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为满足环境体系的运行，公司投入主要是安全教育培训、环保/消防设施费用、劳保用品等，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2021年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支出约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</w:rPr>
              <w:t>万余元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巡视查看现场办公区域配备了灭火器等消防设施，状况正常。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部门运行控制基本符合要求。</w:t>
            </w:r>
          </w:p>
        </w:tc>
        <w:tc>
          <w:tcPr>
            <w:tcW w:w="1585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809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应急准备和响应</w:t>
            </w:r>
          </w:p>
        </w:tc>
        <w:tc>
          <w:tcPr>
            <w:tcW w:w="1311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E8.2</w:t>
            </w:r>
          </w:p>
        </w:tc>
        <w:tc>
          <w:tcPr>
            <w:tcW w:w="10004" w:type="dxa"/>
            <w:vAlign w:val="center"/>
          </w:tcPr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提供了紧急事故预防应急办法，制定了预防措施和应急措施。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制定了《应急准备和响应控制程序》，包含有事件级别及不同级别事件的处理程序、事件处理组织机构及职责分工、通用及特殊处理程序、各岗位要求等。具有可操作性。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28日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编制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应急演练评审表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评审结论：按照计划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日进行《消防应急预案》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演习，演练内容，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月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28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日员工正在上班，突然车间火警铃响起，公司第一时间报火警，并组织员工疏散自救，全体员工在规定时间内通过各个安全出口逃生。从各个安全出口通道逃生至指定位置后，各区域负责人及时清点人数，并向现场指挥报告；仓库需安排专职一人在确认人员全部疏散后，降下防火卷帘。生产部各车间楼层需要安排专职一人在确认人员全部疏散后，关闭防火门。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物资准备和人员培训情况，演练物品：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火盆、柴油、点火棒、灭火器、秒表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，进入现场前由安全员讲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火灾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发生处理事项要领和个人安全防护要求。</w:t>
            </w:r>
          </w:p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提供了应急设备器具台账，出示消防演习方案，明确了活动时间、地点、演习科目、参加人数、现场布置示意图、紧急疏散示意图、义务消防队成员及职责分工、联系方式等内容，内容具体清楚。</w:t>
            </w:r>
          </w:p>
          <w:p>
            <w:pPr>
              <w:pStyle w:val="2"/>
              <w:ind w:firstLine="46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应急演练后对应急预案进行了评审，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效果评价：本次演习组织有序，计划灭火演练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45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分钟，每人实操使用灭火器灭火，效果良好。</w:t>
            </w:r>
          </w:p>
          <w:p>
            <w:pPr>
              <w:pStyle w:val="2"/>
              <w:ind w:firstLine="46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逃生演练：员工熟悉了逃生路线及集合地点，初步达到预定目标。</w:t>
            </w:r>
          </w:p>
          <w:p>
            <w:pPr>
              <w:pStyle w:val="2"/>
              <w:ind w:firstLine="460" w:firstLineChars="200"/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GB"/>
              </w:rPr>
              <w:t>应急预案不重要修订。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自体系运行以来尚未发生紧急情况。</w:t>
            </w:r>
          </w:p>
          <w:p>
            <w:pPr>
              <w:spacing w:line="360" w:lineRule="atLeast"/>
              <w:ind w:firstLine="420" w:firstLineChars="200"/>
              <w:jc w:val="lef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084570" cy="2718435"/>
                  <wp:effectExtent l="0" t="0" r="11430" b="12065"/>
                  <wp:docPr id="1" name="图片 1" descr="微信图片_2022081110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8111042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570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符合</w:t>
            </w:r>
          </w:p>
        </w:tc>
      </w:tr>
    </w:tbl>
    <w:p>
      <w:pPr>
        <w:jc w:val="center"/>
        <w:rPr>
          <w:rFonts w:hint="eastAsia" w:ascii="仿宋" w:hAnsi="仿宋" w:eastAsia="仿宋" w:cs="仿宋"/>
          <w:sz w:val="21"/>
          <w:szCs w:val="21"/>
        </w:rPr>
      </w:pPr>
    </w:p>
    <w:p>
      <w:pPr>
        <w:pStyle w:val="4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93437D"/>
    <w:rsid w:val="25CC7F91"/>
    <w:rsid w:val="2FF07108"/>
    <w:rsid w:val="30EE1C30"/>
    <w:rsid w:val="36436736"/>
    <w:rsid w:val="57752B96"/>
    <w:rsid w:val="68E80D38"/>
    <w:rsid w:val="6D5A1BF0"/>
    <w:rsid w:val="6F4A30B1"/>
    <w:rsid w:val="77BF70B4"/>
    <w:rsid w:val="7DB1449B"/>
    <w:rsid w:val="7DB875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黑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2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1</TotalTime>
  <ScaleCrop>false</ScaleCrop>
  <LinksUpToDate>false</LinksUpToDate>
  <CharactersWithSpaces>101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hb</cp:lastModifiedBy>
  <dcterms:modified xsi:type="dcterms:W3CDTF">2022-08-12T07:59:41Z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2052-11.1.0.9914</vt:lpwstr>
  </property>
</Properties>
</file>