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166"/>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4"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166"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738"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rPr>
              <w:t>受审核部门：生产部      主管领导：</w:t>
            </w:r>
            <w:r>
              <w:rPr>
                <w:rFonts w:hint="eastAsia" w:ascii="仿宋" w:hAnsi="仿宋" w:eastAsia="仿宋" w:cs="仿宋"/>
                <w:sz w:val="21"/>
                <w:szCs w:val="21"/>
                <w:lang w:eastAsia="zh-CN"/>
              </w:rPr>
              <w:t>彭明</w:t>
            </w:r>
            <w:r>
              <w:rPr>
                <w:rFonts w:hint="eastAsia" w:ascii="仿宋" w:hAnsi="仿宋" w:eastAsia="仿宋" w:cs="仿宋"/>
                <w:sz w:val="21"/>
                <w:szCs w:val="21"/>
              </w:rPr>
              <w:t xml:space="preserve">    陪同人员：</w:t>
            </w:r>
            <w:r>
              <w:rPr>
                <w:rFonts w:hint="eastAsia" w:ascii="仿宋" w:hAnsi="仿宋" w:eastAsia="仿宋" w:cs="仿宋"/>
                <w:sz w:val="21"/>
                <w:szCs w:val="21"/>
                <w:lang w:eastAsia="zh-CN"/>
              </w:rPr>
              <w:t>钟世斌</w:t>
            </w:r>
          </w:p>
        </w:tc>
        <w:tc>
          <w:tcPr>
            <w:tcW w:w="851"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4" w:type="dxa"/>
            <w:vMerge w:val="continue"/>
            <w:vAlign w:val="center"/>
          </w:tcPr>
          <w:p>
            <w:pPr>
              <w:rPr>
                <w:rFonts w:hint="eastAsia" w:ascii="仿宋" w:hAnsi="仿宋" w:eastAsia="仿宋" w:cs="仿宋"/>
                <w:sz w:val="21"/>
                <w:szCs w:val="21"/>
              </w:rPr>
            </w:pPr>
          </w:p>
        </w:tc>
        <w:tc>
          <w:tcPr>
            <w:tcW w:w="1166" w:type="dxa"/>
            <w:vMerge w:val="continue"/>
            <w:vAlign w:val="center"/>
          </w:tcPr>
          <w:p>
            <w:pPr>
              <w:rPr>
                <w:rFonts w:hint="eastAsia" w:ascii="仿宋" w:hAnsi="仿宋" w:eastAsia="仿宋" w:cs="仿宋"/>
                <w:sz w:val="21"/>
                <w:szCs w:val="21"/>
              </w:rPr>
            </w:pPr>
          </w:p>
        </w:tc>
        <w:tc>
          <w:tcPr>
            <w:tcW w:w="10738" w:type="dxa"/>
            <w:vAlign w:val="center"/>
          </w:tcPr>
          <w:p>
            <w:pPr>
              <w:spacing w:before="120"/>
              <w:rPr>
                <w:rFonts w:hint="eastAsia" w:ascii="仿宋" w:hAnsi="仿宋" w:eastAsia="仿宋" w:cs="仿宋"/>
                <w:sz w:val="21"/>
                <w:szCs w:val="21"/>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强兴</w:t>
            </w:r>
            <w:r>
              <w:rPr>
                <w:rFonts w:hint="eastAsia" w:ascii="仿宋" w:hAnsi="仿宋" w:eastAsia="仿宋" w:cs="仿宋"/>
                <w:sz w:val="21"/>
                <w:szCs w:val="21"/>
              </w:rPr>
              <w:t xml:space="preserve">     审核时间：202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8</w:t>
            </w:r>
            <w:r>
              <w:rPr>
                <w:rFonts w:hint="eastAsia" w:ascii="仿宋" w:hAnsi="仿宋" w:eastAsia="仿宋" w:cs="仿宋"/>
                <w:sz w:val="21"/>
                <w:szCs w:val="21"/>
              </w:rPr>
              <w:t>月</w:t>
            </w:r>
            <w:r>
              <w:rPr>
                <w:rFonts w:hint="eastAsia" w:ascii="仿宋" w:hAnsi="仿宋" w:eastAsia="仿宋" w:cs="仿宋"/>
                <w:sz w:val="21"/>
                <w:szCs w:val="21"/>
                <w:lang w:val="en-US" w:eastAsia="zh-CN"/>
              </w:rPr>
              <w:t>3</w:t>
            </w:r>
            <w:r>
              <w:rPr>
                <w:rFonts w:hint="eastAsia" w:ascii="仿宋" w:hAnsi="仿宋" w:eastAsia="仿宋" w:cs="仿宋"/>
                <w:sz w:val="21"/>
                <w:szCs w:val="21"/>
              </w:rPr>
              <w:t>日</w:t>
            </w:r>
          </w:p>
        </w:tc>
        <w:tc>
          <w:tcPr>
            <w:tcW w:w="851"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4" w:type="dxa"/>
            <w:vMerge w:val="continue"/>
            <w:vAlign w:val="center"/>
          </w:tcPr>
          <w:p>
            <w:pPr>
              <w:rPr>
                <w:rFonts w:hint="eastAsia" w:ascii="仿宋" w:hAnsi="仿宋" w:eastAsia="仿宋" w:cs="仿宋"/>
                <w:sz w:val="21"/>
                <w:szCs w:val="21"/>
              </w:rPr>
            </w:pPr>
          </w:p>
        </w:tc>
        <w:tc>
          <w:tcPr>
            <w:tcW w:w="1166" w:type="dxa"/>
            <w:vMerge w:val="continue"/>
            <w:vAlign w:val="center"/>
          </w:tcPr>
          <w:p>
            <w:pPr>
              <w:rPr>
                <w:rFonts w:hint="eastAsia" w:ascii="仿宋" w:hAnsi="仿宋" w:eastAsia="仿宋" w:cs="仿宋"/>
                <w:sz w:val="21"/>
                <w:szCs w:val="21"/>
              </w:rPr>
            </w:pPr>
          </w:p>
        </w:tc>
        <w:tc>
          <w:tcPr>
            <w:tcW w:w="10738" w:type="dxa"/>
            <w:vAlign w:val="center"/>
          </w:tcPr>
          <w:p>
            <w:pPr>
              <w:rPr>
                <w:rFonts w:hint="eastAsia" w:ascii="仿宋" w:hAnsi="仿宋" w:eastAsia="仿宋" w:cs="仿宋"/>
                <w:sz w:val="21"/>
                <w:szCs w:val="21"/>
              </w:rPr>
            </w:pPr>
            <w:r>
              <w:rPr>
                <w:rFonts w:hint="eastAsia" w:ascii="仿宋" w:hAnsi="仿宋" w:eastAsia="仿宋" w:cs="仿宋"/>
                <w:sz w:val="21"/>
                <w:szCs w:val="21"/>
              </w:rPr>
              <w:t>审核条款：</w:t>
            </w:r>
          </w:p>
          <w:p>
            <w:pPr>
              <w:adjustRightInd w:val="0"/>
              <w:snapToGrid w:val="0"/>
              <w:spacing w:line="320" w:lineRule="exact"/>
              <w:ind w:right="105" w:rightChars="50"/>
              <w:textAlignment w:val="baseline"/>
              <w:rPr>
                <w:rFonts w:hint="eastAsia" w:ascii="仿宋" w:hAnsi="仿宋" w:eastAsia="仿宋" w:cs="仿宋"/>
                <w:sz w:val="21"/>
                <w:szCs w:val="21"/>
              </w:rPr>
            </w:pPr>
            <w:r>
              <w:rPr>
                <w:rFonts w:hint="eastAsia" w:ascii="仿宋" w:hAnsi="仿宋" w:eastAsia="仿宋" w:cs="仿宋"/>
                <w:sz w:val="21"/>
                <w:szCs w:val="21"/>
              </w:rPr>
              <w:t>EMS: 5.3组织的岗位、职责和权限、6.2环境目标、6.1.2环境因素、8.1运行策划和控制、8.2应急准备和响应</w:t>
            </w:r>
          </w:p>
        </w:tc>
        <w:tc>
          <w:tcPr>
            <w:tcW w:w="851"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4" w:type="dxa"/>
          </w:tcPr>
          <w:p>
            <w:pPr>
              <w:rPr>
                <w:rFonts w:hint="eastAsia" w:ascii="仿宋" w:hAnsi="仿宋" w:eastAsia="仿宋" w:cs="仿宋"/>
                <w:sz w:val="21"/>
                <w:szCs w:val="21"/>
              </w:rPr>
            </w:pPr>
            <w:r>
              <w:rPr>
                <w:rFonts w:hint="eastAsia" w:ascii="仿宋" w:hAnsi="仿宋" w:eastAsia="仿宋" w:cs="仿宋"/>
                <w:sz w:val="21"/>
                <w:szCs w:val="21"/>
              </w:rPr>
              <w:t>部门及人员的职责和权限</w:t>
            </w:r>
          </w:p>
        </w:tc>
        <w:tc>
          <w:tcPr>
            <w:tcW w:w="1166" w:type="dxa"/>
          </w:tcPr>
          <w:p>
            <w:pPr>
              <w:rPr>
                <w:rFonts w:hint="eastAsia" w:ascii="仿宋" w:hAnsi="仿宋" w:eastAsia="仿宋" w:cs="仿宋"/>
                <w:b/>
                <w:bCs/>
                <w:sz w:val="21"/>
                <w:szCs w:val="21"/>
              </w:rPr>
            </w:pPr>
            <w:r>
              <w:rPr>
                <w:rFonts w:hint="eastAsia" w:ascii="仿宋" w:hAnsi="仿宋" w:eastAsia="仿宋" w:cs="仿宋"/>
                <w:b/>
                <w:bCs/>
                <w:sz w:val="21"/>
                <w:szCs w:val="21"/>
              </w:rPr>
              <w:t>E5.3</w:t>
            </w:r>
          </w:p>
          <w:p>
            <w:pPr>
              <w:rPr>
                <w:rFonts w:hint="eastAsia" w:ascii="仿宋" w:hAnsi="仿宋" w:eastAsia="仿宋" w:cs="仿宋"/>
                <w:b/>
                <w:bCs/>
                <w:sz w:val="21"/>
                <w:szCs w:val="21"/>
              </w:rPr>
            </w:pPr>
          </w:p>
          <w:p>
            <w:pPr>
              <w:rPr>
                <w:rFonts w:hint="eastAsia" w:ascii="仿宋" w:hAnsi="仿宋" w:eastAsia="仿宋" w:cs="仿宋"/>
                <w:sz w:val="21"/>
                <w:szCs w:val="21"/>
              </w:rPr>
            </w:pPr>
          </w:p>
        </w:tc>
        <w:tc>
          <w:tcPr>
            <w:tcW w:w="10738" w:type="dxa"/>
          </w:tcPr>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部主要作用、职责和权限包括:负责基础设施管理控制，负责生产和服务提供的控制，包括制定生产计划，科学合理调度，确保生产计划及时按期完成，负责产品标识，并确保在必要时实现可追溯性，负责产品实现的策划，质量管理体系生产服务提供控制，，负责环境因素、危险源辨识和控制，负责生产过程运行的环境和安全控制，应急预案并实施预案的紧急演练，负责产品生产作业活动、过程中环境安全的监视和测量，负责生产进度、现场工作环境和安全生产管理。</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生产部上述作用和职责、权限基本得到有效沟通和实施。</w:t>
            </w:r>
          </w:p>
        </w:tc>
        <w:tc>
          <w:tcPr>
            <w:tcW w:w="851" w:type="dxa"/>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54"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环境因素辨识与评价</w:t>
            </w:r>
          </w:p>
        </w:tc>
        <w:tc>
          <w:tcPr>
            <w:tcW w:w="1166" w:type="dxa"/>
          </w:tcPr>
          <w:p>
            <w:pPr>
              <w:spacing w:line="360" w:lineRule="auto"/>
              <w:rPr>
                <w:rFonts w:hint="eastAsia" w:ascii="仿宋" w:hAnsi="仿宋" w:eastAsia="仿宋" w:cs="仿宋"/>
                <w:b/>
                <w:sz w:val="21"/>
                <w:szCs w:val="21"/>
              </w:rPr>
            </w:pPr>
            <w:r>
              <w:rPr>
                <w:rFonts w:hint="eastAsia" w:ascii="仿宋" w:hAnsi="仿宋" w:eastAsia="仿宋" w:cs="仿宋"/>
                <w:b/>
                <w:bCs/>
                <w:sz w:val="21"/>
                <w:szCs w:val="21"/>
              </w:rPr>
              <w:t>E</w:t>
            </w:r>
            <w:r>
              <w:rPr>
                <w:rFonts w:hint="eastAsia" w:ascii="仿宋" w:hAnsi="仿宋" w:eastAsia="仿宋" w:cs="仿宋"/>
                <w:b/>
                <w:sz w:val="21"/>
                <w:szCs w:val="21"/>
              </w:rPr>
              <w:t>6.1.2</w:t>
            </w:r>
          </w:p>
          <w:p>
            <w:pPr>
              <w:rPr>
                <w:rFonts w:hint="eastAsia" w:ascii="仿宋" w:hAnsi="仿宋" w:eastAsia="仿宋" w:cs="仿宋"/>
                <w:b/>
                <w:bCs/>
                <w:sz w:val="21"/>
                <w:szCs w:val="21"/>
              </w:rPr>
            </w:pPr>
          </w:p>
          <w:p>
            <w:pPr>
              <w:rPr>
                <w:rFonts w:hint="eastAsia" w:ascii="仿宋" w:hAnsi="仿宋" w:eastAsia="仿宋" w:cs="仿宋"/>
                <w:sz w:val="21"/>
                <w:szCs w:val="21"/>
              </w:rPr>
            </w:pPr>
          </w:p>
        </w:tc>
        <w:tc>
          <w:tcPr>
            <w:tcW w:w="10738" w:type="dxa"/>
          </w:tcPr>
          <w:p>
            <w:pPr>
              <w:spacing w:beforeLines="30" w:afterLines="30" w:line="288"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生产部经理</w:t>
            </w:r>
            <w:r>
              <w:rPr>
                <w:rFonts w:hint="eastAsia" w:ascii="仿宋" w:hAnsi="仿宋" w:eastAsia="仿宋" w:cs="仿宋"/>
                <w:sz w:val="21"/>
                <w:szCs w:val="21"/>
              </w:rPr>
              <w:t>陈谢</w:t>
            </w:r>
            <w:r>
              <w:rPr>
                <w:rFonts w:hint="eastAsia" w:ascii="仿宋" w:hAnsi="仿宋" w:eastAsia="仿宋" w:cs="仿宋"/>
                <w:bCs/>
                <w:sz w:val="21"/>
                <w:szCs w:val="21"/>
              </w:rPr>
              <w:t>述：公司制订《环境因素识别与评价控制程序》，生产部根据陶瓷共烧基板的生产工作特点对涉及的环境因素进行了识别和辨识。</w:t>
            </w:r>
          </w:p>
          <w:p>
            <w:pPr>
              <w:spacing w:beforeLines="30" w:afterLines="30" w:line="288"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在公司编制的”环境因素识别与评价控制程序”中，对环境因素识别和评价的目的、职责、工作程序和记录的要求均有明确的规定。</w:t>
            </w:r>
          </w:p>
          <w:p>
            <w:pPr>
              <w:spacing w:beforeLines="30" w:afterLines="30" w:line="288" w:lineRule="auto"/>
              <w:ind w:firstLine="420" w:firstLineChars="200"/>
              <w:jc w:val="left"/>
              <w:rPr>
                <w:rFonts w:hint="eastAsia" w:ascii="仿宋" w:hAnsi="仿宋" w:eastAsia="仿宋" w:cs="仿宋"/>
                <w:bCs/>
                <w:sz w:val="21"/>
                <w:szCs w:val="21"/>
              </w:rPr>
            </w:pPr>
            <w:r>
              <w:rPr>
                <w:rFonts w:hint="eastAsia" w:ascii="仿宋" w:hAnsi="仿宋" w:eastAsia="仿宋" w:cs="仿宋"/>
                <w:bCs/>
                <w:sz w:val="21"/>
                <w:szCs w:val="21"/>
              </w:rPr>
              <w:t>查到《环境因素识别评价表》：已识别生产部的环境因素产生过程包括：冲孔、填孔、印刷、叠层、水压、脱脂烧结、后印、后烧、激光切割等，</w:t>
            </w:r>
            <w:r>
              <w:rPr>
                <w:rFonts w:hint="eastAsia" w:ascii="仿宋" w:hAnsi="仿宋" w:eastAsia="仿宋" w:cs="仿宋"/>
                <w:sz w:val="21"/>
                <w:szCs w:val="21"/>
              </w:rPr>
              <w:t>能源消耗</w:t>
            </w:r>
            <w:r>
              <w:rPr>
                <w:rFonts w:hint="eastAsia" w:ascii="仿宋" w:hAnsi="仿宋" w:eastAsia="仿宋" w:cs="仿宋"/>
                <w:bCs/>
                <w:sz w:val="21"/>
                <w:szCs w:val="21"/>
              </w:rPr>
              <w:t>、</w:t>
            </w:r>
            <w:r>
              <w:rPr>
                <w:rFonts w:hint="eastAsia" w:ascii="仿宋" w:hAnsi="仿宋" w:eastAsia="仿宋" w:cs="仿宋"/>
                <w:sz w:val="21"/>
                <w:szCs w:val="21"/>
              </w:rPr>
              <w:t>用电不当、生产垃圾</w:t>
            </w:r>
            <w:r>
              <w:rPr>
                <w:rFonts w:hint="eastAsia" w:ascii="仿宋" w:hAnsi="仿宋" w:eastAsia="仿宋" w:cs="仿宋"/>
                <w:kern w:val="0"/>
                <w:sz w:val="21"/>
                <w:szCs w:val="21"/>
              </w:rPr>
              <w:t>等过程中粉尘的排放，噪声的排放，能源的消耗，废水、废渣的排放、固废的废弃等，在环境评价过程中</w:t>
            </w:r>
            <w:r>
              <w:rPr>
                <w:rFonts w:hint="eastAsia" w:ascii="仿宋" w:hAnsi="仿宋" w:eastAsia="仿宋" w:cs="仿宋"/>
                <w:bCs/>
                <w:sz w:val="21"/>
                <w:szCs w:val="21"/>
              </w:rPr>
              <w:t>考虑到环境影响、三种时态和三种状态等。使用分级评分的方式。</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参加环境因素辨识和评价人员：</w:t>
            </w:r>
            <w:r>
              <w:rPr>
                <w:rFonts w:hint="eastAsia" w:ascii="仿宋" w:hAnsi="仿宋" w:eastAsia="仿宋" w:cs="仿宋"/>
                <w:sz w:val="21"/>
                <w:szCs w:val="21"/>
                <w:lang w:eastAsia="zh-CN"/>
              </w:rPr>
              <w:t>钟世斌</w:t>
            </w:r>
            <w:r>
              <w:rPr>
                <w:rFonts w:hint="eastAsia" w:ascii="仿宋" w:hAnsi="仿宋" w:eastAsia="仿宋" w:cs="仿宋"/>
                <w:sz w:val="21"/>
                <w:szCs w:val="21"/>
              </w:rPr>
              <w:t xml:space="preserve"> 、黄志华等 </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bCs/>
                <w:sz w:val="21"/>
                <w:szCs w:val="21"/>
              </w:rPr>
              <w:t>以上环境因素识别基本全面、无遗漏，评价基本合理。</w:t>
            </w:r>
          </w:p>
          <w:p>
            <w:pPr>
              <w:spacing w:beforeLines="30" w:afterLines="30" w:line="288" w:lineRule="auto"/>
              <w:ind w:firstLine="420" w:firstLineChars="200"/>
              <w:rPr>
                <w:rFonts w:hint="eastAsia" w:ascii="仿宋" w:hAnsi="仿宋" w:eastAsia="仿宋" w:cs="仿宋"/>
                <w:bCs/>
                <w:sz w:val="21"/>
                <w:szCs w:val="21"/>
              </w:rPr>
            </w:pPr>
            <w:r>
              <w:rPr>
                <w:rFonts w:hint="eastAsia" w:ascii="仿宋" w:hAnsi="仿宋" w:eastAsia="仿宋" w:cs="仿宋"/>
                <w:bCs/>
                <w:sz w:val="21"/>
                <w:szCs w:val="21"/>
              </w:rPr>
              <w:t>查到《重要环境因素清单》已识别重要环境因素包括：噪声</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废气</w:t>
            </w:r>
            <w:r>
              <w:rPr>
                <w:rFonts w:hint="eastAsia" w:ascii="仿宋" w:hAnsi="仿宋" w:eastAsia="仿宋" w:cs="仿宋"/>
                <w:bCs/>
                <w:sz w:val="21"/>
                <w:szCs w:val="21"/>
              </w:rPr>
              <w:t>的排放、潜在火灾、固体废弃物排放、能源消耗</w:t>
            </w: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电气老化</w:t>
            </w:r>
            <w:r>
              <w:rPr>
                <w:rFonts w:hint="eastAsia" w:ascii="仿宋" w:hAnsi="仿宋" w:eastAsia="仿宋" w:cs="仿宋"/>
                <w:bCs/>
                <w:sz w:val="21"/>
                <w:szCs w:val="21"/>
              </w:rPr>
              <w:t>，明确控制措施和责任部门，基本合理。</w:t>
            </w:r>
          </w:p>
        </w:tc>
        <w:tc>
          <w:tcPr>
            <w:tcW w:w="851"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4" w:type="dxa"/>
          </w:tcPr>
          <w:p>
            <w:pPr>
              <w:spacing w:line="360" w:lineRule="auto"/>
              <w:rPr>
                <w:rFonts w:hint="eastAsia" w:ascii="仿宋" w:hAnsi="仿宋" w:eastAsia="仿宋" w:cs="仿宋"/>
                <w:kern w:val="0"/>
                <w:sz w:val="21"/>
                <w:szCs w:val="21"/>
              </w:rPr>
            </w:pPr>
            <w:r>
              <w:rPr>
                <w:rFonts w:hint="eastAsia" w:ascii="仿宋" w:hAnsi="仿宋" w:eastAsia="仿宋" w:cs="仿宋"/>
                <w:kern w:val="0"/>
                <w:sz w:val="21"/>
                <w:szCs w:val="21"/>
              </w:rPr>
              <w:t>目标</w:t>
            </w:r>
          </w:p>
          <w:p>
            <w:pPr>
              <w:spacing w:line="360" w:lineRule="auto"/>
              <w:rPr>
                <w:rFonts w:hint="eastAsia" w:ascii="仿宋" w:hAnsi="仿宋" w:eastAsia="仿宋" w:cs="仿宋"/>
                <w:sz w:val="21"/>
                <w:szCs w:val="21"/>
              </w:rPr>
            </w:pPr>
          </w:p>
        </w:tc>
        <w:tc>
          <w:tcPr>
            <w:tcW w:w="1166" w:type="dxa"/>
          </w:tcPr>
          <w:p>
            <w:pPr>
              <w:spacing w:line="360" w:lineRule="auto"/>
              <w:rPr>
                <w:rFonts w:hint="eastAsia" w:ascii="仿宋" w:hAnsi="仿宋" w:eastAsia="仿宋" w:cs="仿宋"/>
                <w:bCs/>
                <w:sz w:val="21"/>
                <w:szCs w:val="21"/>
              </w:rPr>
            </w:pPr>
            <w:r>
              <w:rPr>
                <w:rFonts w:hint="eastAsia" w:ascii="仿宋" w:hAnsi="仿宋" w:eastAsia="仿宋" w:cs="仿宋"/>
                <w:b/>
                <w:bCs/>
                <w:sz w:val="21"/>
                <w:szCs w:val="21"/>
              </w:rPr>
              <w:t>E</w:t>
            </w:r>
            <w:r>
              <w:rPr>
                <w:rFonts w:hint="eastAsia" w:ascii="仿宋" w:hAnsi="仿宋" w:eastAsia="仿宋" w:cs="仿宋"/>
                <w:b/>
                <w:sz w:val="21"/>
                <w:szCs w:val="21"/>
              </w:rPr>
              <w:t>6.2</w:t>
            </w:r>
          </w:p>
          <w:p>
            <w:pPr>
              <w:spacing w:line="360" w:lineRule="auto"/>
              <w:rPr>
                <w:rFonts w:hint="eastAsia" w:ascii="仿宋" w:hAnsi="仿宋" w:eastAsia="仿宋" w:cs="仿宋"/>
                <w:bCs/>
                <w:sz w:val="21"/>
                <w:szCs w:val="21"/>
              </w:rPr>
            </w:pPr>
          </w:p>
          <w:p>
            <w:pPr>
              <w:spacing w:line="360" w:lineRule="auto"/>
              <w:rPr>
                <w:rFonts w:hint="eastAsia" w:ascii="仿宋" w:hAnsi="仿宋" w:eastAsia="仿宋" w:cs="仿宋"/>
                <w:sz w:val="21"/>
                <w:szCs w:val="21"/>
              </w:rPr>
            </w:pPr>
          </w:p>
        </w:tc>
        <w:tc>
          <w:tcPr>
            <w:tcW w:w="10738" w:type="dxa"/>
          </w:tcPr>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查有公司级管理目标，并按照部门对目标进行分解，有目标管理管理规定，规定了目标的分解及考核的具体方法。</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30</w:t>
            </w:r>
            <w:r>
              <w:rPr>
                <w:rFonts w:hint="eastAsia" w:ascii="仿宋" w:hAnsi="仿宋" w:eastAsia="仿宋" w:cs="仿宋"/>
                <w:sz w:val="21"/>
                <w:szCs w:val="21"/>
              </w:rPr>
              <w:t>日生产部环境目标</w:t>
            </w:r>
            <w:r>
              <w:rPr>
                <w:rFonts w:hint="eastAsia" w:ascii="仿宋" w:hAnsi="仿宋" w:eastAsia="仿宋" w:cs="仿宋"/>
                <w:sz w:val="21"/>
                <w:szCs w:val="21"/>
                <w:lang w:val="en-US" w:eastAsia="zh-CN"/>
              </w:rPr>
              <w:t>考核</w:t>
            </w:r>
            <w:r>
              <w:rPr>
                <w:rFonts w:hint="eastAsia" w:ascii="仿宋" w:hAnsi="仿宋" w:eastAsia="仿宋" w:cs="仿宋"/>
                <w:sz w:val="21"/>
                <w:szCs w:val="21"/>
              </w:rPr>
              <w:t>情况</w:t>
            </w:r>
          </w:p>
          <w:p>
            <w:pPr>
              <w:spacing w:beforeLines="20" w:afterLines="20" w:line="312"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生产部主要目标                                             统计情况</w:t>
            </w:r>
          </w:p>
          <w:p>
            <w:pPr>
              <w:spacing w:beforeLines="20" w:afterLines="20" w:line="312"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1、火灾事故为0                                               0次</w:t>
            </w:r>
          </w:p>
          <w:p>
            <w:pPr>
              <w:spacing w:beforeLines="20" w:afterLines="20" w:line="312"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2、噪声达标排放                                            达标（见三废监测报告）</w:t>
            </w:r>
          </w:p>
          <w:p>
            <w:pPr>
              <w:spacing w:beforeLines="20" w:afterLines="20" w:line="312"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（工业企业厂界噪声标准（GB12348-2008））                  </w:t>
            </w:r>
          </w:p>
          <w:p>
            <w:pPr>
              <w:spacing w:beforeLines="20" w:afterLines="20" w:line="312"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、固废分类处置率100%；                                     100%</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月3</w:t>
            </w:r>
            <w:r>
              <w:rPr>
                <w:rFonts w:hint="eastAsia" w:ascii="仿宋" w:hAnsi="仿宋" w:eastAsia="仿宋" w:cs="仿宋"/>
                <w:sz w:val="21"/>
                <w:szCs w:val="21"/>
                <w:lang w:val="en-US" w:eastAsia="zh-CN"/>
              </w:rPr>
              <w:t>0</w:t>
            </w:r>
            <w:r>
              <w:rPr>
                <w:rFonts w:hint="eastAsia" w:ascii="仿宋" w:hAnsi="仿宋" w:eastAsia="仿宋" w:cs="仿宋"/>
                <w:sz w:val="21"/>
                <w:szCs w:val="21"/>
              </w:rPr>
              <w:t>日，</w:t>
            </w:r>
            <w:r>
              <w:rPr>
                <w:rFonts w:hint="eastAsia" w:ascii="仿宋" w:hAnsi="仿宋" w:eastAsia="仿宋" w:cs="仿宋"/>
                <w:sz w:val="21"/>
                <w:szCs w:val="21"/>
                <w:lang w:eastAsia="zh-CN"/>
              </w:rPr>
              <w:t>彭明</w:t>
            </w:r>
            <w:r>
              <w:rPr>
                <w:rFonts w:hint="eastAsia" w:ascii="仿宋" w:hAnsi="仿宋" w:eastAsia="仿宋" w:cs="仿宋"/>
                <w:sz w:val="21"/>
                <w:szCs w:val="21"/>
              </w:rPr>
              <w:t xml:space="preserve">进行了统计及目标实现分析部门分解目标已达成目标，与方针一致，符合公司环境总目标， </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抽环境目标管理方案，明确了措施、责任人、时间、资金投入要求。</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管理方案由责任部门组织实施，目前在实施中，部分已完成。</w:t>
            </w:r>
          </w:p>
        </w:tc>
        <w:tc>
          <w:tcPr>
            <w:tcW w:w="851"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954" w:type="dxa"/>
          </w:tcPr>
          <w:p>
            <w:pPr>
              <w:rPr>
                <w:rFonts w:hint="eastAsia" w:ascii="仿宋" w:hAnsi="仿宋" w:eastAsia="仿宋" w:cs="仿宋"/>
                <w:sz w:val="21"/>
                <w:szCs w:val="21"/>
              </w:rPr>
            </w:pPr>
            <w:r>
              <w:rPr>
                <w:rFonts w:hint="eastAsia" w:ascii="仿宋" w:hAnsi="仿宋" w:eastAsia="仿宋" w:cs="仿宋"/>
                <w:bCs/>
                <w:sz w:val="21"/>
                <w:szCs w:val="21"/>
              </w:rPr>
              <w:t>环境和职业健康安全运行控制</w:t>
            </w:r>
          </w:p>
        </w:tc>
        <w:tc>
          <w:tcPr>
            <w:tcW w:w="1166" w:type="dxa"/>
          </w:tcPr>
          <w:p>
            <w:pPr>
              <w:rPr>
                <w:rFonts w:hint="eastAsia" w:ascii="仿宋" w:hAnsi="仿宋" w:eastAsia="仿宋" w:cs="仿宋"/>
                <w:b/>
                <w:sz w:val="21"/>
                <w:szCs w:val="21"/>
              </w:rPr>
            </w:pPr>
            <w:r>
              <w:rPr>
                <w:rFonts w:hint="eastAsia" w:ascii="仿宋" w:hAnsi="仿宋" w:eastAsia="仿宋" w:cs="仿宋"/>
                <w:b/>
                <w:sz w:val="21"/>
                <w:szCs w:val="21"/>
              </w:rPr>
              <w:t>E8.1</w:t>
            </w:r>
          </w:p>
          <w:p>
            <w:pPr>
              <w:rPr>
                <w:rFonts w:hint="eastAsia" w:ascii="仿宋" w:hAnsi="仿宋" w:eastAsia="仿宋" w:cs="仿宋"/>
                <w:b/>
                <w:sz w:val="21"/>
                <w:szCs w:val="21"/>
              </w:rPr>
            </w:pPr>
          </w:p>
          <w:p>
            <w:pPr>
              <w:rPr>
                <w:rFonts w:hint="eastAsia" w:ascii="仿宋" w:hAnsi="仿宋" w:eastAsia="仿宋" w:cs="仿宋"/>
                <w:sz w:val="21"/>
                <w:szCs w:val="21"/>
              </w:rPr>
            </w:pPr>
          </w:p>
        </w:tc>
        <w:tc>
          <w:tcPr>
            <w:tcW w:w="10738" w:type="dxa"/>
          </w:tcPr>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编制与环境、安全体系运行控制有关的文件有运行控制程序、废弃物控制程序、噪声控制程序、消防控制程序、劳动防护用品控制程序、资源能源控制程序、应急准备和响应控制程序、生产车间噪声控制作业指导书、生产生活固废垃圾处理/利用作业指导书、员工职业健康及劳动保护管理规定、应急预案等。</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提供了《环境目标、指标健康安全目标与管理方案及实施情况一览表》，管理方案内容包括如下：环境安全目标、环境安全指标、管理措施、完成时间、责任部门等内容。具有一定的可操作性。</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1、废水管控：</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企业废水主要是生活废水，食堂生活废水经过隔油池处理后与办公楼、厕所产生的废水采用“化粪池+微动力生化处理装置”，处理后排入工业园内污水管网统一处理。</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2、废气管控：</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陶瓷共烧基板的生产过程中产生的废气，主要有所用原辅材料中水份、生产纯净水，在烧结、后烧过程中达到水分挥发，形成碳水化合物，相关废气由收集管道收集经雨林塔装置中处理后，循环使用，在烧结、后烧过程中另存在部分挥发。生产车间为封闭式作业，，无组织排放。</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3、噪声管控：</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过程在冲孔、水压、脱脂烧结、后烧、激光切割等工序设备运行产生轻微噪声，采取厂房内操作和选用低噪声的设备和工具，厂房密闭生产，同时加强设备的检查和维保，确保机械设备在正常工况下运行，其他工序基本无噪声，无高噪声设备。</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4、固废管控：</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生产过程中的固废主要为冲孔产生废边角余料、陶瓷粉尘，收集的废屑粉尘，集中收集卖给陶瓷供应商；激光切割产生的陶瓷粉尘，集尘器系统收集经雨淋塔降温冷却，流至沉淀池中定期收集；</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办公过程中固废主要是墨盒硒鼓等办公危废，由行政部人事部统一处理，一般是交供应商回收，生活垃圾由当地环卫所处理，公司缴纳处理费。</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生产过程中的危废：</w:t>
            </w:r>
            <w:r>
              <w:rPr>
                <w:rFonts w:hint="eastAsia" w:ascii="仿宋" w:hAnsi="仿宋" w:eastAsia="仿宋" w:cs="仿宋"/>
                <w:sz w:val="21"/>
                <w:szCs w:val="21"/>
                <w:lang w:val="en-US" w:eastAsia="zh-CN"/>
              </w:rPr>
              <w:t>泥渣，因量少，在厂房一层用专用容器贮存，然后再送往有资质的单位进行处理。</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5、能源资源管控：</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生产过程注意节水、节电、节约陶瓷、银浆，人走关闭设备和照明开关，现场未发现有漏水和浪费电能的现象。</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6、产品生命周期的环境管控：</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公司从工艺设计和采购产品时已考虑了产品的环保性（包括其包装），生产过程中，严格按照环保等管理制度实施，控制好辅助材料的用量，避免浪费，生命周期终了时陶瓷、银等还可以回收再利用。</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7、潜在火灾管控：</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公司生产车间和办公区域配备了灭火器、消防栓，均符合要求。</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8、安全防护：</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公司给员工发放手套、口罩、工作服、工作帽、工作鞋等劳保用品，生产车间封闭管理。</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9、能提供防止员工意外伤害加重的急救药品如创可贴、杀菌药水等。</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10、为主要长期员工上社保，查见了交款证明。</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11、为环境和职业健康安全管理体系运行提供了财务支持，见行政部审核记录。</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12、员工饮用水为纯净水通过饮水机饮用。</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13、提供了202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1</w:t>
            </w:r>
            <w:r>
              <w:rPr>
                <w:rFonts w:hint="eastAsia" w:ascii="仿宋" w:hAnsi="仿宋" w:eastAsia="仿宋" w:cs="仿宋"/>
                <w:sz w:val="21"/>
                <w:szCs w:val="21"/>
              </w:rPr>
              <w:t>月至202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7</w:t>
            </w:r>
            <w:r>
              <w:rPr>
                <w:rFonts w:hint="eastAsia" w:ascii="仿宋" w:hAnsi="仿宋" w:eastAsia="仿宋" w:cs="仿宋"/>
                <w:sz w:val="21"/>
                <w:szCs w:val="21"/>
              </w:rPr>
              <w:t>月环境安全检查记录表，检验项目主要有加工/办公/生活区域卫生是否清理干净，固废情况、噪音排放，办公区域是否安全用电，消防设施是否完好，消防通道是否畅通，人员是否按规定穿戴防护用品，能源消耗等。</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抽查</w:t>
            </w:r>
            <w:r>
              <w:rPr>
                <w:rFonts w:hint="eastAsia" w:ascii="仿宋" w:hAnsi="仿宋" w:eastAsia="仿宋" w:cs="仿宋"/>
                <w:sz w:val="21"/>
                <w:szCs w:val="21"/>
                <w:lang w:val="en-US" w:eastAsia="zh-CN"/>
              </w:rPr>
              <w:t>2022年第二季度环境体系运行检查记录</w:t>
            </w:r>
            <w:r>
              <w:rPr>
                <w:rFonts w:hint="eastAsia" w:ascii="仿宋" w:hAnsi="仿宋" w:eastAsia="仿宋" w:cs="仿宋"/>
                <w:sz w:val="21"/>
                <w:szCs w:val="21"/>
              </w:rPr>
              <w:t>检查结果均正常，检查人</w:t>
            </w:r>
            <w:r>
              <w:rPr>
                <w:rFonts w:hint="eastAsia" w:ascii="仿宋" w:hAnsi="仿宋" w:eastAsia="仿宋" w:cs="仿宋"/>
                <w:sz w:val="21"/>
                <w:szCs w:val="21"/>
                <w:lang w:val="en-US" w:eastAsia="zh-CN"/>
              </w:rPr>
              <w:t>杨翔</w:t>
            </w:r>
            <w:r>
              <w:rPr>
                <w:rFonts w:hint="eastAsia" w:ascii="仿宋" w:hAnsi="仿宋" w:eastAsia="仿宋" w:cs="仿宋"/>
                <w:sz w:val="21"/>
                <w:szCs w:val="21"/>
              </w:rPr>
              <w:t>。</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14、查三废监测情况，公司提供了三废监测报告，对噪音、废水、废气等进行了监测，结果符合要求。见附件。</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15、现场运行控制：</w:t>
            </w:r>
          </w:p>
          <w:p>
            <w:pPr>
              <w:spacing w:beforeLines="30" w:afterLines="30" w:line="288" w:lineRule="auto"/>
              <w:ind w:firstLine="422" w:firstLineChars="200"/>
              <w:rPr>
                <w:rFonts w:hint="default" w:ascii="仿宋" w:hAnsi="仿宋" w:eastAsia="仿宋" w:cs="仿宋"/>
                <w:b/>
                <w:bCs/>
                <w:sz w:val="21"/>
                <w:szCs w:val="21"/>
                <w:lang w:val="en-US" w:eastAsia="zh-CN"/>
              </w:rPr>
            </w:pPr>
            <w:r>
              <w:rPr>
                <w:rFonts w:hint="eastAsia" w:ascii="仿宋" w:hAnsi="仿宋" w:eastAsia="仿宋" w:cs="仿宋"/>
                <w:b/>
                <w:bCs/>
                <w:sz w:val="21"/>
                <w:szCs w:val="21"/>
              </w:rPr>
              <w:t>现场巡视办公及生产区域配备</w:t>
            </w:r>
            <w:bookmarkStart w:id="0" w:name="_GoBack"/>
            <w:bookmarkEnd w:id="0"/>
            <w:r>
              <w:rPr>
                <w:rFonts w:hint="eastAsia" w:ascii="仿宋" w:hAnsi="仿宋" w:eastAsia="仿宋" w:cs="仿宋"/>
                <w:b/>
                <w:bCs/>
                <w:sz w:val="21"/>
                <w:szCs w:val="21"/>
              </w:rPr>
              <w:t>有灭火器和消防栓多个，各车间均配有灭火器</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发现车间走廊TC-013灭火器柜中有一枚灭火器已失效。详见不符合报告。</w:t>
            </w:r>
            <w:r>
              <w:rPr>
                <w:rFonts w:hint="default" w:ascii="仿宋" w:hAnsi="仿宋" w:eastAsia="仿宋" w:cs="仿宋"/>
                <w:b/>
                <w:bCs/>
                <w:sz w:val="21"/>
                <w:szCs w:val="21"/>
                <w:lang w:val="en-US" w:eastAsia="zh-CN"/>
              </w:rPr>
              <w:drawing>
                <wp:inline distT="0" distB="0" distL="114300" distR="114300">
                  <wp:extent cx="2041525" cy="2825750"/>
                  <wp:effectExtent l="0" t="0" r="3175" b="6350"/>
                  <wp:docPr id="1" name="图片 1" descr="微信图片_20220811115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111155555"/>
                          <pic:cNvPicPr>
                            <a:picLocks noChangeAspect="1"/>
                          </pic:cNvPicPr>
                        </pic:nvPicPr>
                        <pic:blipFill>
                          <a:blip r:embed="rId6"/>
                          <a:stretch>
                            <a:fillRect/>
                          </a:stretch>
                        </pic:blipFill>
                        <pic:spPr>
                          <a:xfrm>
                            <a:off x="0" y="0"/>
                            <a:ext cx="2041525" cy="2825750"/>
                          </a:xfrm>
                          <a:prstGeom prst="rect">
                            <a:avLst/>
                          </a:prstGeom>
                        </pic:spPr>
                      </pic:pic>
                    </a:graphicData>
                  </a:graphic>
                </wp:inline>
              </w:drawing>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现场查看各工序设备运转正常，人员操作方法合理，并佩带要相应的防护措施，如口罩、手套等。操作人员穿戴有工作衣、工作帽、工作鞋等安全防护用品。</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各车间安全设施设有提示说明，方便取用，未发现遮挡消防设施和挤占消防通道的情况。</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冲孔工序，防护设施合理，设备上张贴安全警示标识，安装了减震设施，噪音轻微。现场冲孔操作人员配戴口罩，搬运人员配戴线手套，所有车间人员均着工作服、工作帽、工作鞋。除尘设施运转正常，废边角料集中堆放。</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填孔、印刷工序，设备贴有设备安全操作规程，员工佩带手套、穿戴工作服及工作鞋进行作业进行防护，使用设备印刷机进行作业，将银浆通过印刷机钢网，印刷在陶瓷基板上，过程中印刷多余银浆，回收重复使用处理；设备旁噪音轻微，无废气、废水。</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水压工序，设备热水均压机贴有设备安全操作规程，员工佩带手套、工作帽、穿戴工作服及工作鞋进行作业进行防护，将叠层好的半成品，通过水压压力3000psi，保压时间60秒；整个过程设备噪音轻微，水进行循环使用，无外排，无废渣。</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烧结、后烧工序，设备链式烧结炉贴，烤箱有设备安全操作规程，各段温度按要求进行设定，设定烧结、后烧时间；整个过程设备噪音轻微，烧结过程中主要有所用原辅材料中水份等、生产纯净水，在烧结、后烧过程中达到水分挥发，形成碳水化合物，相关废气由收集管道收集经雨林塔装置中处理后，循环使用，在烧结、后烧过程中另存在部分挥发。生产车间为封闭式作业，无组织排放。</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激光切割工序：设备激光切割机贴有设备安全操作规程，员工佩带手套、工作帽、穿戴工作服及工作鞋进行作业进行防护，对成品陶瓷基本进行切割作业。整个切割过程设备噪音轻微，产生的陶瓷粉尘，集尘器系统收集经雨淋塔降温冷却，流至沉淀池中定期收集，卖给陶瓷供应商；</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配电室门口设有防鼠挡板，配有绝缘手套、绝缘鞋、高压验电笔、安全帽，内部配有灭火器。</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生产车间内现场电线布线合理，电线均处于完好状态，设备安装稳固、有接地及保护装置，控制柜及漏电保护器状态良好。</w:t>
            </w:r>
          </w:p>
          <w:p>
            <w:pPr>
              <w:spacing w:beforeLines="30" w:afterLines="30" w:line="288"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车间安装有应急灯和应急出口指示，消防设施（灭火器、消防栓等）处于有效状态。</w:t>
            </w:r>
          </w:p>
          <w:p>
            <w:pPr>
              <w:spacing w:beforeLines="30" w:afterLines="30" w:line="288" w:lineRule="auto"/>
              <w:ind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rPr>
              <w:t>车间现场在环保方面的控制管理基本有效。</w:t>
            </w:r>
            <w:r>
              <w:rPr>
                <w:rFonts w:hint="eastAsia" w:ascii="仿宋" w:hAnsi="仿宋" w:eastAsia="仿宋" w:cs="仿宋"/>
                <w:sz w:val="21"/>
                <w:szCs w:val="21"/>
                <w:lang w:eastAsia="zh-CN"/>
              </w:rPr>
              <w:drawing>
                <wp:inline distT="0" distB="0" distL="114300" distR="114300">
                  <wp:extent cx="6673215" cy="2095500"/>
                  <wp:effectExtent l="0" t="0" r="6985" b="0"/>
                  <wp:docPr id="2" name="图片 2" descr="微信图片_20220811115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8111155556"/>
                          <pic:cNvPicPr>
                            <a:picLocks noChangeAspect="1"/>
                          </pic:cNvPicPr>
                        </pic:nvPicPr>
                        <pic:blipFill>
                          <a:blip r:embed="rId7"/>
                          <a:stretch>
                            <a:fillRect/>
                          </a:stretch>
                        </pic:blipFill>
                        <pic:spPr>
                          <a:xfrm>
                            <a:off x="0" y="0"/>
                            <a:ext cx="6673215" cy="2095500"/>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6673215" cy="2551430"/>
                  <wp:effectExtent l="0" t="0" r="6985" b="1270"/>
                  <wp:docPr id="3" name="图片 3" descr="微信图片_2022081111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811115935"/>
                          <pic:cNvPicPr>
                            <a:picLocks noChangeAspect="1"/>
                          </pic:cNvPicPr>
                        </pic:nvPicPr>
                        <pic:blipFill>
                          <a:blip r:embed="rId8"/>
                          <a:stretch>
                            <a:fillRect/>
                          </a:stretch>
                        </pic:blipFill>
                        <pic:spPr>
                          <a:xfrm>
                            <a:off x="0" y="0"/>
                            <a:ext cx="6673215" cy="2551430"/>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6673215" cy="2439670"/>
                  <wp:effectExtent l="0" t="0" r="6985" b="11430"/>
                  <wp:docPr id="5" name="图片 5" descr="微信图片_20220811115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8111159351"/>
                          <pic:cNvPicPr>
                            <a:picLocks noChangeAspect="1"/>
                          </pic:cNvPicPr>
                        </pic:nvPicPr>
                        <pic:blipFill>
                          <a:blip r:embed="rId9"/>
                          <a:stretch>
                            <a:fillRect/>
                          </a:stretch>
                        </pic:blipFill>
                        <pic:spPr>
                          <a:xfrm>
                            <a:off x="0" y="0"/>
                            <a:ext cx="6673215" cy="2439670"/>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6673215" cy="2777490"/>
                  <wp:effectExtent l="0" t="0" r="6985" b="3810"/>
                  <wp:docPr id="6" name="图片 6" descr="微信图片_20220811115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8111159352"/>
                          <pic:cNvPicPr>
                            <a:picLocks noChangeAspect="1"/>
                          </pic:cNvPicPr>
                        </pic:nvPicPr>
                        <pic:blipFill>
                          <a:blip r:embed="rId10"/>
                          <a:stretch>
                            <a:fillRect/>
                          </a:stretch>
                        </pic:blipFill>
                        <pic:spPr>
                          <a:xfrm>
                            <a:off x="0" y="0"/>
                            <a:ext cx="6673215" cy="2777490"/>
                          </a:xfrm>
                          <a:prstGeom prst="rect">
                            <a:avLst/>
                          </a:prstGeom>
                        </pic:spPr>
                      </pic:pic>
                    </a:graphicData>
                  </a:graphic>
                </wp:inline>
              </w:drawing>
            </w:r>
          </w:p>
        </w:tc>
        <w:tc>
          <w:tcPr>
            <w:tcW w:w="851" w:type="dxa"/>
          </w:tcPr>
          <w:p>
            <w:pPr>
              <w:rPr>
                <w:rFonts w:hint="eastAsia" w:ascii="仿宋" w:hAnsi="仿宋" w:eastAsia="仿宋" w:cs="仿宋"/>
                <w:sz w:val="21"/>
                <w:szCs w:val="21"/>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ind w:firstLine="371"/>
              <w:jc w:val="left"/>
              <w:rPr>
                <w:rFonts w:hint="eastAsia" w:ascii="仿宋" w:hAnsi="仿宋" w:eastAsia="仿宋" w:cs="仿宋"/>
                <w:sz w:val="21"/>
                <w:szCs w:val="21"/>
                <w:lang w:val="en-US" w:eastAsia="zh-CN"/>
              </w:rPr>
            </w:pPr>
          </w:p>
          <w:p>
            <w:pPr>
              <w:jc w:val="left"/>
              <w:rPr>
                <w:rFonts w:hint="eastAsia" w:ascii="仿宋" w:hAnsi="仿宋" w:eastAsia="仿宋" w:cs="仿宋"/>
                <w:sz w:val="21"/>
                <w:szCs w:val="21"/>
                <w:lang w:val="en-US" w:eastAsia="zh-CN"/>
              </w:rPr>
            </w:pPr>
          </w:p>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N</w:t>
            </w: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p>
            <w:pPr>
              <w:ind w:firstLine="371"/>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54" w:type="dxa"/>
            <w:vAlign w:val="center"/>
          </w:tcPr>
          <w:p>
            <w:pPr>
              <w:rPr>
                <w:rFonts w:hint="eastAsia" w:ascii="仿宋" w:hAnsi="仿宋" w:eastAsia="仿宋" w:cs="仿宋"/>
                <w:sz w:val="21"/>
                <w:szCs w:val="21"/>
              </w:rPr>
            </w:pPr>
            <w:r>
              <w:rPr>
                <w:rFonts w:hint="eastAsia" w:ascii="仿宋" w:hAnsi="仿宋" w:eastAsia="仿宋" w:cs="仿宋"/>
                <w:sz w:val="21"/>
                <w:szCs w:val="21"/>
              </w:rPr>
              <w:t>应急准备和响应</w:t>
            </w:r>
          </w:p>
        </w:tc>
        <w:tc>
          <w:tcPr>
            <w:tcW w:w="1166" w:type="dxa"/>
            <w:vAlign w:val="center"/>
          </w:tcPr>
          <w:p>
            <w:pPr>
              <w:rPr>
                <w:rFonts w:hint="eastAsia" w:ascii="仿宋" w:hAnsi="仿宋" w:eastAsia="仿宋" w:cs="仿宋"/>
                <w:sz w:val="21"/>
                <w:szCs w:val="21"/>
              </w:rPr>
            </w:pPr>
            <w:r>
              <w:rPr>
                <w:rFonts w:hint="eastAsia" w:ascii="仿宋" w:hAnsi="仿宋" w:eastAsia="仿宋" w:cs="仿宋"/>
                <w:sz w:val="21"/>
                <w:szCs w:val="21"/>
              </w:rPr>
              <w:t>E8.2</w:t>
            </w:r>
          </w:p>
        </w:tc>
        <w:tc>
          <w:tcPr>
            <w:tcW w:w="10738"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提供了紧急事故预防应急办法，制定了预防措施和应急措施。</w:t>
            </w:r>
          </w:p>
          <w:p>
            <w:pPr>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28日</w:t>
            </w:r>
            <w:r>
              <w:rPr>
                <w:rFonts w:hint="eastAsia" w:ascii="仿宋" w:hAnsi="仿宋" w:eastAsia="仿宋" w:cs="仿宋"/>
                <w:sz w:val="21"/>
                <w:szCs w:val="21"/>
                <w:lang w:val="en-GB"/>
              </w:rPr>
              <w:t>编制</w:t>
            </w:r>
            <w:r>
              <w:rPr>
                <w:rFonts w:hint="eastAsia" w:ascii="仿宋" w:hAnsi="仿宋" w:eastAsia="仿宋" w:cs="仿宋"/>
                <w:sz w:val="21"/>
                <w:szCs w:val="21"/>
                <w:lang w:val="en-US" w:eastAsia="zh-CN"/>
              </w:rPr>
              <w:t>应急演练评审表</w:t>
            </w:r>
            <w:r>
              <w:rPr>
                <w:rFonts w:hint="eastAsia" w:ascii="仿宋" w:hAnsi="仿宋" w:eastAsia="仿宋" w:cs="仿宋"/>
                <w:sz w:val="21"/>
                <w:szCs w:val="21"/>
                <w:lang w:val="en-GB"/>
              </w:rPr>
              <w:t>，</w:t>
            </w:r>
            <w:r>
              <w:rPr>
                <w:rFonts w:hint="eastAsia" w:ascii="仿宋" w:hAnsi="仿宋" w:eastAsia="仿宋" w:cs="仿宋"/>
                <w:sz w:val="21"/>
                <w:szCs w:val="21"/>
                <w:lang w:val="en-US" w:eastAsia="zh-CN"/>
              </w:rPr>
              <w:t>评审结论：按照计划</w:t>
            </w: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28</w:t>
            </w:r>
            <w:r>
              <w:rPr>
                <w:rFonts w:hint="eastAsia" w:ascii="仿宋" w:hAnsi="仿宋" w:eastAsia="仿宋" w:cs="仿宋"/>
                <w:sz w:val="21"/>
                <w:szCs w:val="21"/>
              </w:rPr>
              <w:t>日进行《消防应急预案》</w:t>
            </w:r>
            <w:r>
              <w:rPr>
                <w:rFonts w:hint="eastAsia" w:ascii="仿宋" w:hAnsi="仿宋" w:eastAsia="仿宋" w:cs="仿宋"/>
                <w:sz w:val="21"/>
                <w:szCs w:val="21"/>
                <w:lang w:val="en-GB"/>
              </w:rPr>
              <w:t>演习，演练内容，</w:t>
            </w:r>
            <w:r>
              <w:rPr>
                <w:rFonts w:hint="eastAsia" w:ascii="仿宋" w:hAnsi="仿宋" w:eastAsia="仿宋" w:cs="仿宋"/>
                <w:sz w:val="21"/>
                <w:szCs w:val="21"/>
                <w:lang w:val="en-US" w:eastAsia="zh-CN"/>
              </w:rPr>
              <w:t>6</w:t>
            </w:r>
            <w:r>
              <w:rPr>
                <w:rFonts w:hint="eastAsia" w:ascii="仿宋" w:hAnsi="仿宋" w:eastAsia="仿宋" w:cs="仿宋"/>
                <w:sz w:val="21"/>
                <w:szCs w:val="21"/>
                <w:lang w:val="en-GB"/>
              </w:rPr>
              <w:t>月</w:t>
            </w:r>
            <w:r>
              <w:rPr>
                <w:rFonts w:hint="eastAsia" w:ascii="仿宋" w:hAnsi="仿宋" w:eastAsia="仿宋" w:cs="仿宋"/>
                <w:sz w:val="21"/>
                <w:szCs w:val="21"/>
                <w:lang w:val="en-US" w:eastAsia="zh-CN"/>
              </w:rPr>
              <w:t>28</w:t>
            </w:r>
            <w:r>
              <w:rPr>
                <w:rFonts w:hint="eastAsia" w:ascii="仿宋" w:hAnsi="仿宋" w:eastAsia="仿宋" w:cs="仿宋"/>
                <w:sz w:val="21"/>
                <w:szCs w:val="21"/>
                <w:lang w:val="en-GB"/>
              </w:rPr>
              <w:t>日员工正在上班，突然车间火警铃响起，公司第一时间报火警，并组织员工疏散自救，全体员工在规定时间内通过各个安全出口逃生。从各个安全出口通道逃生至指定位置后，各区域负责人及时清点人数，并向现场指挥报告；仓库需安排专职一人在确认人员全部疏散后，降下防火卷帘。生产部各车间楼层需要安排专职一人在确认人员全部疏散后，关闭防火门。。</w:t>
            </w:r>
          </w:p>
          <w:p>
            <w:pPr>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物资准备和人员培训情况，演练物品：</w:t>
            </w:r>
            <w:r>
              <w:rPr>
                <w:rFonts w:hint="eastAsia" w:ascii="仿宋" w:hAnsi="仿宋" w:eastAsia="仿宋" w:cs="仿宋"/>
                <w:sz w:val="21"/>
                <w:szCs w:val="21"/>
              </w:rPr>
              <w:t>火盆、柴油、点火棒、灭火器、秒表</w:t>
            </w:r>
            <w:r>
              <w:rPr>
                <w:rFonts w:hint="eastAsia" w:ascii="仿宋" w:hAnsi="仿宋" w:eastAsia="仿宋" w:cs="仿宋"/>
                <w:sz w:val="21"/>
                <w:szCs w:val="21"/>
                <w:lang w:val="en-GB"/>
              </w:rPr>
              <w:t>，进入现场前由安全员讲</w:t>
            </w:r>
            <w:r>
              <w:rPr>
                <w:rFonts w:hint="eastAsia" w:ascii="仿宋" w:hAnsi="仿宋" w:eastAsia="仿宋" w:cs="仿宋"/>
                <w:sz w:val="21"/>
                <w:szCs w:val="21"/>
                <w:lang w:val="en-US" w:eastAsia="zh-CN"/>
              </w:rPr>
              <w:t>火灾</w:t>
            </w:r>
            <w:r>
              <w:rPr>
                <w:rFonts w:hint="eastAsia" w:ascii="仿宋" w:hAnsi="仿宋" w:eastAsia="仿宋" w:cs="仿宋"/>
                <w:sz w:val="21"/>
                <w:szCs w:val="21"/>
                <w:lang w:val="en-GB"/>
              </w:rPr>
              <w:t>发生处理事项要领和个人安全防护要求。</w:t>
            </w:r>
          </w:p>
          <w:p>
            <w:pPr>
              <w:ind w:firstLine="420" w:firstLineChars="200"/>
              <w:rPr>
                <w:rFonts w:hint="eastAsia" w:ascii="仿宋" w:hAnsi="仿宋" w:eastAsia="仿宋" w:cs="仿宋"/>
                <w:sz w:val="21"/>
                <w:szCs w:val="21"/>
                <w:lang w:val="en-GB"/>
              </w:rPr>
            </w:pPr>
            <w:r>
              <w:rPr>
                <w:rFonts w:hint="eastAsia" w:ascii="仿宋" w:hAnsi="仿宋" w:eastAsia="仿宋" w:cs="仿宋"/>
                <w:sz w:val="21"/>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2"/>
              <w:ind w:firstLine="460" w:firstLineChars="200"/>
              <w:rPr>
                <w:rFonts w:hint="eastAsia" w:ascii="仿宋" w:hAnsi="仿宋" w:eastAsia="仿宋" w:cs="仿宋"/>
                <w:sz w:val="21"/>
                <w:szCs w:val="21"/>
              </w:rPr>
            </w:pPr>
            <w:r>
              <w:rPr>
                <w:rFonts w:hint="eastAsia" w:ascii="仿宋" w:hAnsi="仿宋" w:eastAsia="仿宋" w:cs="仿宋"/>
                <w:sz w:val="21"/>
                <w:szCs w:val="21"/>
                <w:lang w:val="en-GB"/>
              </w:rPr>
              <w:t>应急演练后对应急预案进行了评审，</w:t>
            </w:r>
            <w:r>
              <w:rPr>
                <w:rFonts w:hint="eastAsia" w:ascii="仿宋" w:hAnsi="仿宋" w:eastAsia="仿宋" w:cs="仿宋"/>
                <w:sz w:val="21"/>
                <w:szCs w:val="21"/>
              </w:rPr>
              <w:t>效果评价：本次演习组织有序，计划灭火演练</w:t>
            </w:r>
            <w:r>
              <w:rPr>
                <w:rFonts w:hint="eastAsia" w:ascii="仿宋" w:hAnsi="仿宋" w:eastAsia="仿宋" w:cs="仿宋"/>
                <w:sz w:val="21"/>
                <w:szCs w:val="21"/>
                <w:lang w:val="en-US" w:eastAsia="zh-CN"/>
              </w:rPr>
              <w:t>45</w:t>
            </w:r>
            <w:r>
              <w:rPr>
                <w:rFonts w:hint="eastAsia" w:ascii="仿宋" w:hAnsi="仿宋" w:eastAsia="仿宋" w:cs="仿宋"/>
                <w:sz w:val="21"/>
                <w:szCs w:val="21"/>
              </w:rPr>
              <w:t>分钟，每人实操使用灭火器灭火，效果良好。</w:t>
            </w:r>
          </w:p>
          <w:p>
            <w:pPr>
              <w:pStyle w:val="2"/>
              <w:ind w:firstLine="460" w:firstLineChars="200"/>
              <w:rPr>
                <w:rFonts w:hint="eastAsia" w:ascii="仿宋" w:hAnsi="仿宋" w:eastAsia="仿宋" w:cs="仿宋"/>
                <w:sz w:val="21"/>
                <w:szCs w:val="21"/>
              </w:rPr>
            </w:pPr>
            <w:r>
              <w:rPr>
                <w:rFonts w:hint="eastAsia" w:ascii="仿宋" w:hAnsi="仿宋" w:eastAsia="仿宋" w:cs="仿宋"/>
                <w:sz w:val="21"/>
                <w:szCs w:val="21"/>
              </w:rPr>
              <w:t>逃生演练：员工熟悉了逃生路线及集合地点，初步达到预定目标。</w:t>
            </w:r>
          </w:p>
          <w:p>
            <w:pPr>
              <w:pStyle w:val="2"/>
              <w:ind w:firstLine="460" w:firstLineChars="200"/>
              <w:rPr>
                <w:rFonts w:hint="eastAsia" w:ascii="仿宋" w:hAnsi="仿宋" w:eastAsia="仿宋" w:cs="仿宋"/>
                <w:sz w:val="21"/>
                <w:szCs w:val="21"/>
                <w:lang w:val="en-GB"/>
              </w:rPr>
            </w:pPr>
            <w:r>
              <w:rPr>
                <w:rFonts w:hint="eastAsia" w:ascii="仿宋" w:hAnsi="仿宋" w:eastAsia="仿宋" w:cs="仿宋"/>
                <w:sz w:val="21"/>
                <w:szCs w:val="21"/>
                <w:lang w:val="en-GB"/>
              </w:rPr>
              <w:t>应急预案不重要修订。</w:t>
            </w:r>
            <w:r>
              <w:rPr>
                <w:rFonts w:hint="eastAsia" w:ascii="仿宋" w:hAnsi="仿宋" w:eastAsia="仿宋" w:cs="仿宋"/>
                <w:sz w:val="21"/>
                <w:szCs w:val="21"/>
              </w:rPr>
              <w:t>自体系运行以来尚未发生紧急情况。</w:t>
            </w:r>
          </w:p>
          <w:p>
            <w:pPr>
              <w:spacing w:line="360" w:lineRule="atLeas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生产部</w:t>
            </w:r>
            <w:r>
              <w:rPr>
                <w:rFonts w:hint="eastAsia" w:ascii="仿宋" w:hAnsi="仿宋" w:eastAsia="仿宋" w:cs="仿宋"/>
                <w:sz w:val="21"/>
                <w:szCs w:val="21"/>
              </w:rPr>
              <w:t>部参与了此次演练。</w:t>
            </w:r>
          </w:p>
        </w:tc>
        <w:tc>
          <w:tcPr>
            <w:tcW w:w="851" w:type="dxa"/>
          </w:tcPr>
          <w:p>
            <w:pPr>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bl>
    <w:p>
      <w:pPr>
        <w:pStyle w:val="4"/>
      </w:pPr>
      <w:r>
        <w:rPr>
          <w:rFonts w:hint="eastAsia"/>
        </w:rPr>
        <w:t>说明：不符合标注</w:t>
      </w:r>
      <w:r>
        <w:t>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925BE0"/>
    <w:rsid w:val="0B123CD4"/>
    <w:rsid w:val="0F8B5EC9"/>
    <w:rsid w:val="35473428"/>
    <w:rsid w:val="38403EB8"/>
    <w:rsid w:val="4E470F32"/>
    <w:rsid w:val="511C23E1"/>
    <w:rsid w:val="53252654"/>
    <w:rsid w:val="53CB03D0"/>
    <w:rsid w:val="65A52F36"/>
    <w:rsid w:val="68E80D38"/>
    <w:rsid w:val="6C116BD8"/>
    <w:rsid w:val="6F214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10</TotalTime>
  <ScaleCrop>false</ScaleCrop>
  <LinksUpToDate>false</LinksUpToDate>
  <CharactersWithSpaces>101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2022-08-12T08:01:06Z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