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sym w:font="Wingdings 2" w:char="0052"/>
      </w:r>
      <w:r>
        <w:rPr>
          <w:b/>
          <w:sz w:val="22"/>
          <w:szCs w:val="22"/>
        </w:rPr>
        <w:t xml:space="preserve">EMS  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19"/>
        <w:gridCol w:w="1411"/>
        <w:gridCol w:w="3"/>
        <w:gridCol w:w="1287"/>
        <w:gridCol w:w="2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</w:t>
            </w:r>
          </w:p>
        </w:tc>
        <w:tc>
          <w:tcPr>
            <w:tcW w:w="5327" w:type="dxa"/>
            <w:gridSpan w:val="6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杭州鼎岳空分设备有限公司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E：19.06.00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O：19.06.00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0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曹晏琼</w:t>
            </w:r>
          </w:p>
        </w:tc>
        <w:tc>
          <w:tcPr>
            <w:tcW w:w="1290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网络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林兵</w:t>
            </w:r>
          </w:p>
        </w:tc>
        <w:tc>
          <w:tcPr>
            <w:tcW w:w="1414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bookmarkStart w:id="0" w:name="_GoBack"/>
            <w:r>
              <w:rPr>
                <w:rFonts w:hint="eastAsia"/>
                <w:b/>
                <w:sz w:val="20"/>
              </w:rPr>
              <w:t>容器制作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机加工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  <w:r>
              <w:rPr>
                <w:rFonts w:hint="eastAsia"/>
                <w:b/>
                <w:sz w:val="20"/>
              </w:rPr>
              <w:t>—取料—焊接—产品清洁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表面处理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  <w:r>
              <w:rPr>
                <w:rFonts w:hint="eastAsia"/>
                <w:b/>
                <w:sz w:val="20"/>
              </w:rPr>
              <w:t>—装配—油漆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外包部分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  <w:r>
              <w:rPr>
                <w:rFonts w:hint="eastAsia"/>
                <w:b/>
                <w:sz w:val="20"/>
              </w:rPr>
              <w:t>—测试—包装入库</w:t>
            </w:r>
            <w:bookmarkEnd w:id="0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</w:t>
            </w:r>
            <w:r>
              <w:rPr>
                <w:rFonts w:hint="eastAsia"/>
                <w:b/>
                <w:sz w:val="20"/>
                <w:lang w:val="en-US" w:eastAsia="zh-CN"/>
              </w:rPr>
              <w:t>因素</w:t>
            </w:r>
            <w:r>
              <w:rPr>
                <w:rFonts w:hint="eastAsia"/>
                <w:b/>
                <w:sz w:val="20"/>
              </w:rPr>
              <w:t>及控制措施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废水主要为生活污水，排放园区管道；；</w:t>
            </w:r>
          </w:p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噪声应尽量定期检修，加强润滑，保持设备良好的运转状态，达到GB12348-2008工业企业厂界环境噪声排放标准；</w:t>
            </w:r>
          </w:p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 xml:space="preserve">固废主要为切割金属部件边角料，资源化外售；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相关法律法规的要求及产品标准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szCs w:val="22"/>
                <w:lang w:val="en-US" w:eastAsia="zh-CN"/>
              </w:rPr>
              <w:t>中华人民共和国环境保护法、环境影响评价法、</w:t>
            </w:r>
            <w:r>
              <w:rPr>
                <w:rFonts w:hint="eastAsia"/>
                <w:b/>
                <w:sz w:val="20"/>
                <w:lang w:val="en-US" w:eastAsia="zh-CN"/>
              </w:rPr>
              <w:t>GB12348-2008《工业企业厂界环境噪声排放标准》等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环境监测报告（适用时）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 xml:space="preserve">按排污许可要求进行监测；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-5080</wp:posOffset>
                  </wp:positionV>
                  <wp:extent cx="950595" cy="633730"/>
                  <wp:effectExtent l="0" t="0" r="9525" b="6350"/>
                  <wp:wrapNone/>
                  <wp:docPr id="4" name="图片 4" descr="曹晏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曹晏琼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4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2022-6-27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22225</wp:posOffset>
                  </wp:positionV>
                  <wp:extent cx="854075" cy="617855"/>
                  <wp:effectExtent l="0" t="0" r="0" b="6350"/>
                  <wp:wrapNone/>
                  <wp:docPr id="5" name="图片 5" descr="林兵签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林兵签名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4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2022-6-27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sym w:font="Wingdings 2" w:char="0052"/>
      </w:r>
      <w:r>
        <w:rPr>
          <w:b/>
          <w:sz w:val="22"/>
          <w:szCs w:val="22"/>
        </w:rPr>
        <w:t>OHSMS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19"/>
        <w:gridCol w:w="1411"/>
        <w:gridCol w:w="3"/>
        <w:gridCol w:w="1287"/>
        <w:gridCol w:w="2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</w:t>
            </w:r>
          </w:p>
        </w:tc>
        <w:tc>
          <w:tcPr>
            <w:tcW w:w="5327" w:type="dxa"/>
            <w:gridSpan w:val="6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杭州鼎岳空分设备有限公司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E：19.06.00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O：19.06.00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0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曹晏琼</w:t>
            </w:r>
          </w:p>
        </w:tc>
        <w:tc>
          <w:tcPr>
            <w:tcW w:w="1290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网络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林兵</w:t>
            </w:r>
          </w:p>
        </w:tc>
        <w:tc>
          <w:tcPr>
            <w:tcW w:w="1414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容器制作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机加工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  <w:r>
              <w:rPr>
                <w:rFonts w:hint="eastAsia"/>
                <w:b/>
                <w:sz w:val="20"/>
              </w:rPr>
              <w:t>——取料——焊接——产品清洁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表面处理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  <w:r>
              <w:rPr>
                <w:rFonts w:hint="eastAsia"/>
                <w:b/>
                <w:sz w:val="20"/>
              </w:rPr>
              <w:t>——装配——油漆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外包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  <w:r>
              <w:rPr>
                <w:rFonts w:hint="eastAsia"/>
                <w:b/>
                <w:sz w:val="20"/>
              </w:rPr>
              <w:t>——测试——包装入库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</w:t>
            </w:r>
            <w:r>
              <w:rPr>
                <w:rFonts w:hint="eastAsia"/>
                <w:b/>
                <w:sz w:val="20"/>
                <w:lang w:val="en-US" w:eastAsia="zh-CN"/>
              </w:rPr>
              <w:t>和</w:t>
            </w:r>
            <w:r>
              <w:rPr>
                <w:rFonts w:hint="eastAsia"/>
                <w:b/>
                <w:sz w:val="20"/>
              </w:rPr>
              <w:t>危险源及控制措施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车间化学因子危害、焊接烟气、粉尘危险、噪声危害、机械伤害等；措施；车间其他作业人员配戴口罩和耳塞等；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职业健康安全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szCs w:val="22"/>
                <w:lang w:val="en-US" w:eastAsia="zh-CN"/>
              </w:rPr>
              <w:t>中华人民共和国安全生产法、劳动法、职业病防治法《</w:t>
            </w:r>
            <w:r>
              <w:rPr>
                <w:rFonts w:hint="eastAsia"/>
                <w:b/>
                <w:sz w:val="20"/>
                <w:lang w:val="en-US" w:eastAsia="zh-CN"/>
              </w:rPr>
              <w:t>用人单位职业病危害告知与警示标识管理规范》、GBZ158-2013《工作场所职业病危害警示标识》、GBZ188-2014《职业健康监护技术规范》、GBZ2.1-2019《工作场所有害因素职业接触限值 第1部分：化学有害因素》、GBZ2.2-2017《工作场所有害因素职业接触限值 第2部分：物理因素》等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14"/>
                <w:szCs w:val="14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作业场所职业健康安全监测报告（适用时）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应按当地应急管理要求对车间内环境因子定期监测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9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3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71120</wp:posOffset>
                  </wp:positionV>
                  <wp:extent cx="950595" cy="633730"/>
                  <wp:effectExtent l="0" t="0" r="9525" b="6350"/>
                  <wp:wrapNone/>
                  <wp:docPr id="1" name="图片 1" descr="曹晏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曹晏琼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4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2022-6-27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98425</wp:posOffset>
                  </wp:positionV>
                  <wp:extent cx="854075" cy="617855"/>
                  <wp:effectExtent l="0" t="0" r="0" b="6350"/>
                  <wp:wrapNone/>
                  <wp:docPr id="3" name="图片 3" descr="林兵签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林兵签名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4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2022-6-27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0"/>
        <w:rFonts w:hint="default"/>
      </w:rPr>
    </w:pPr>
    <w:r>
      <w:rPr>
        <w:rStyle w:val="10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文本框 1025" o:spid="_x0000_s2049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0"/>
        <w:rFonts w:hint="default"/>
        <w:w w:val="90"/>
      </w:rPr>
      <w:t>Beijing International Standard united Certification Co.,Ltd.</w:t>
    </w:r>
  </w:p>
  <w:p>
    <w:pPr>
      <w:pStyle w:val="4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M2Y0YTE0MGY2ZDNlMWRjNTY0YzZjODI1ZjhiNzdmYzQifQ=="/>
  </w:docVars>
  <w:rsids>
    <w:rsidRoot w:val="00000000"/>
    <w:rsid w:val="30DC64E4"/>
    <w:rsid w:val="5DA63C8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link w:val="2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766</Words>
  <Characters>896</Characters>
  <Lines>2</Lines>
  <Paragraphs>1</Paragraphs>
  <TotalTime>1</TotalTime>
  <ScaleCrop>false</ScaleCrop>
  <LinksUpToDate>false</LinksUpToDate>
  <CharactersWithSpaces>902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森林</cp:lastModifiedBy>
  <dcterms:modified xsi:type="dcterms:W3CDTF">2022-06-28T14:21:36Z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2052-11.1.0.11830</vt:lpwstr>
  </property>
</Properties>
</file>