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1093"/>
        <w:gridCol w:w="10579"/>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93"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9" w:type="dxa"/>
            <w:vAlign w:val="center"/>
          </w:tcPr>
          <w:p>
            <w:pPr>
              <w:rPr>
                <w:rFonts w:hint="default" w:eastAsia="宋体"/>
                <w:sz w:val="24"/>
                <w:szCs w:val="24"/>
                <w:lang w:val="en-US" w:eastAsia="zh-CN"/>
              </w:rPr>
            </w:pPr>
            <w:r>
              <w:rPr>
                <w:rFonts w:hint="eastAsia"/>
                <w:sz w:val="24"/>
                <w:szCs w:val="24"/>
              </w:rPr>
              <w:t xml:space="preserve">受审核部门： </w:t>
            </w:r>
            <w:r>
              <w:rPr>
                <w:rFonts w:hint="eastAsia"/>
                <w:sz w:val="24"/>
                <w:szCs w:val="24"/>
                <w:lang w:val="en-US" w:eastAsia="zh-CN"/>
              </w:rPr>
              <w:t>行政部</w:t>
            </w:r>
            <w:r>
              <w:rPr>
                <w:sz w:val="24"/>
                <w:szCs w:val="24"/>
              </w:rPr>
              <w:t xml:space="preserve">    </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何甜</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曾国豪</w:t>
            </w:r>
          </w:p>
        </w:tc>
        <w:tc>
          <w:tcPr>
            <w:tcW w:w="101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Merge w:val="continue"/>
            <w:vAlign w:val="center"/>
          </w:tcPr>
          <w:p/>
        </w:tc>
        <w:tc>
          <w:tcPr>
            <w:tcW w:w="1093" w:type="dxa"/>
            <w:vMerge w:val="continue"/>
            <w:vAlign w:val="center"/>
          </w:tcPr>
          <w:p/>
        </w:tc>
        <w:tc>
          <w:tcPr>
            <w:tcW w:w="10579"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伍光华</w:t>
            </w:r>
            <w:r>
              <w:rPr>
                <w:sz w:val="24"/>
                <w:szCs w:val="24"/>
              </w:rPr>
              <w:t xml:space="preserve">       </w:t>
            </w:r>
            <w:r>
              <w:rPr>
                <w:rFonts w:hint="eastAsia"/>
                <w:sz w:val="24"/>
                <w:szCs w:val="24"/>
              </w:rPr>
              <w:t>审核时间：</w:t>
            </w:r>
            <w:r>
              <w:rPr>
                <w:rFonts w:hint="eastAsia" w:ascii="Times New Roman" w:hAnsi="Times New Roman" w:eastAsia="宋体" w:cs="Times New Roman"/>
                <w:sz w:val="24"/>
                <w:szCs w:val="24"/>
                <w:lang w:val="en-US" w:eastAsia="zh-CN"/>
              </w:rPr>
              <w:t>202</w:t>
            </w:r>
            <w:r>
              <w:rPr>
                <w:rFonts w:hint="eastAsia" w:cs="Times New Roman"/>
                <w:sz w:val="24"/>
                <w:szCs w:val="24"/>
                <w:lang w:val="en-US" w:eastAsia="zh-CN"/>
              </w:rPr>
              <w:t>2.7.5-8</w:t>
            </w:r>
          </w:p>
        </w:tc>
        <w:tc>
          <w:tcPr>
            <w:tcW w:w="101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Merge w:val="continue"/>
            <w:vAlign w:val="center"/>
          </w:tcPr>
          <w:p/>
        </w:tc>
        <w:tc>
          <w:tcPr>
            <w:tcW w:w="1093" w:type="dxa"/>
            <w:vMerge w:val="continue"/>
            <w:vAlign w:val="center"/>
          </w:tcPr>
          <w:p/>
        </w:tc>
        <w:tc>
          <w:tcPr>
            <w:tcW w:w="1057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lang w:val="en-US" w:eastAsia="zh-CN"/>
              </w:rPr>
            </w:pPr>
            <w:r>
              <w:rPr>
                <w:rFonts w:hint="eastAsia"/>
                <w:sz w:val="24"/>
                <w:szCs w:val="24"/>
                <w:lang w:val="en-US" w:eastAsia="zh-CN"/>
              </w:rPr>
              <w:t>审核条款：</w:t>
            </w:r>
          </w:p>
          <w:p>
            <w:pPr>
              <w:keepNext w:val="0"/>
              <w:keepLines w:val="0"/>
              <w:pageBreakBefore w:val="0"/>
              <w:widowControl w:val="0"/>
              <w:kinsoku/>
              <w:wordWrap/>
              <w:overflowPunct/>
              <w:topLinePunct w:val="0"/>
              <w:autoSpaceDE/>
              <w:autoSpaceDN/>
              <w:bidi w:val="0"/>
              <w:adjustRightInd w:val="0"/>
              <w:snapToGrid w:val="0"/>
              <w:spacing w:after="0"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Q:5.3组织的岗位、职责和权限、6.2质量目标、7.1.2人员、7.2能力、7.3意识、7.1.6组织知识、</w:t>
            </w:r>
            <w:r>
              <w:rPr>
                <w:rFonts w:hint="eastAsia" w:ascii="宋体" w:hAnsi="宋体" w:eastAsia="宋体" w:cs="Arial"/>
                <w:spacing w:val="-6"/>
                <w:sz w:val="21"/>
                <w:szCs w:val="21"/>
                <w:lang w:val="en-US" w:eastAsia="zh-CN"/>
              </w:rPr>
              <w:t>7.5成文信息、</w:t>
            </w:r>
            <w:r>
              <w:rPr>
                <w:rFonts w:hint="eastAsia" w:ascii="宋体" w:hAnsi="宋体" w:eastAsia="宋体" w:cs="Arial"/>
                <w:spacing w:val="-6"/>
                <w:sz w:val="21"/>
                <w:szCs w:val="21"/>
              </w:rPr>
              <w:t>9.1.1监视、测量、分析和评价总则、9.1.3分析与评价、9.2内部审核、10.2不合格和纠正措施</w:t>
            </w:r>
          </w:p>
          <w:p>
            <w:pPr>
              <w:keepNext w:val="0"/>
              <w:keepLines w:val="0"/>
              <w:pageBreakBefore w:val="0"/>
              <w:widowControl w:val="0"/>
              <w:kinsoku/>
              <w:wordWrap/>
              <w:overflowPunct/>
              <w:topLinePunct w:val="0"/>
              <w:autoSpaceDE/>
              <w:autoSpaceDN/>
              <w:bidi w:val="0"/>
              <w:adjustRightInd w:val="0"/>
              <w:snapToGrid w:val="0"/>
              <w:spacing w:after="0" w:line="240" w:lineRule="auto"/>
              <w:ind w:right="105" w:rightChars="50"/>
              <w:textAlignment w:val="baseline"/>
              <w:rPr>
                <w:rFonts w:hint="eastAsia"/>
              </w:rPr>
            </w:pPr>
            <w:r>
              <w:rPr>
                <w:rFonts w:hint="eastAsia" w:ascii="宋体" w:hAnsi="宋体" w:eastAsia="宋体" w:cs="Arial"/>
                <w:spacing w:val="-6"/>
                <w:sz w:val="21"/>
                <w:szCs w:val="21"/>
                <w:lang w:val="en-US" w:eastAsia="zh-CN"/>
              </w:rPr>
              <w:t>EO:</w:t>
            </w:r>
            <w:r>
              <w:rPr>
                <w:rFonts w:hint="eastAsia" w:ascii="宋体" w:hAnsi="宋体" w:eastAsia="宋体" w:cs="Arial"/>
                <w:spacing w:val="-6"/>
                <w:sz w:val="21"/>
                <w:szCs w:val="21"/>
              </w:rPr>
              <w:t>5.3组织的岗位、职责和权限、6.</w:t>
            </w:r>
            <w:r>
              <w:rPr>
                <w:rFonts w:hint="eastAsia" w:ascii="宋体" w:hAnsi="宋体" w:eastAsia="宋体" w:cs="Arial"/>
                <w:spacing w:val="-6"/>
                <w:sz w:val="21"/>
                <w:szCs w:val="21"/>
                <w:lang w:val="en-US" w:eastAsia="zh-CN"/>
              </w:rPr>
              <w:t>2环境、职业健康安全</w:t>
            </w:r>
            <w:r>
              <w:rPr>
                <w:rFonts w:hint="eastAsia" w:ascii="宋体" w:hAnsi="宋体" w:eastAsia="宋体" w:cs="Arial"/>
                <w:spacing w:val="-6"/>
                <w:sz w:val="21"/>
                <w:szCs w:val="21"/>
              </w:rPr>
              <w:t>目标、</w:t>
            </w:r>
            <w:r>
              <w:rPr>
                <w:rFonts w:hint="eastAsia" w:ascii="宋体" w:hAnsi="宋体" w:eastAsia="宋体" w:cs="Arial"/>
                <w:spacing w:val="-6"/>
                <w:sz w:val="21"/>
                <w:szCs w:val="21"/>
                <w:lang w:val="en-US" w:eastAsia="zh-CN"/>
              </w:rPr>
              <w:t>6.1.2环境因素/危险源的辨识、风险评价、6.1.3合规义务、6.1.4控制措施的策划、</w:t>
            </w:r>
            <w:r>
              <w:rPr>
                <w:rFonts w:hint="eastAsia" w:ascii="宋体" w:hAnsi="宋体" w:eastAsia="宋体" w:cs="Arial"/>
                <w:spacing w:val="-6"/>
                <w:sz w:val="21"/>
                <w:szCs w:val="21"/>
              </w:rPr>
              <w:t>7.1</w:t>
            </w:r>
            <w:r>
              <w:rPr>
                <w:rFonts w:hint="eastAsia" w:ascii="宋体" w:hAnsi="宋体" w:eastAsia="宋体" w:cs="Arial"/>
                <w:spacing w:val="-6"/>
                <w:sz w:val="21"/>
                <w:szCs w:val="21"/>
                <w:lang w:eastAsia="zh-CN"/>
              </w:rPr>
              <w:t>资源</w:t>
            </w:r>
            <w:r>
              <w:rPr>
                <w:rFonts w:hint="eastAsia" w:ascii="宋体" w:hAnsi="宋体" w:eastAsia="宋体" w:cs="Arial"/>
                <w:spacing w:val="-6"/>
                <w:sz w:val="21"/>
                <w:szCs w:val="21"/>
              </w:rPr>
              <w:t>、7.2能力、7.3意识、</w:t>
            </w:r>
            <w:r>
              <w:rPr>
                <w:rFonts w:hint="eastAsia" w:ascii="宋体" w:hAnsi="宋体" w:eastAsia="宋体" w:cs="Arial"/>
                <w:spacing w:val="-6"/>
                <w:sz w:val="21"/>
                <w:szCs w:val="21"/>
                <w:lang w:val="en-US" w:eastAsia="zh-CN"/>
              </w:rPr>
              <w:t>7.5成文信息、8.1运行控制、8.2应急准备与响应、</w:t>
            </w:r>
            <w:r>
              <w:rPr>
                <w:rFonts w:hint="eastAsia" w:ascii="宋体" w:hAnsi="宋体" w:eastAsia="宋体" w:cs="Arial"/>
                <w:spacing w:val="-6"/>
                <w:sz w:val="21"/>
                <w:szCs w:val="21"/>
              </w:rPr>
              <w:t>9.1.1监视、测量、分析和评价总则、9.1.</w:t>
            </w:r>
            <w:r>
              <w:rPr>
                <w:rFonts w:hint="eastAsia" w:ascii="宋体" w:hAnsi="宋体" w:eastAsia="宋体" w:cs="Arial"/>
                <w:spacing w:val="-6"/>
                <w:sz w:val="21"/>
                <w:szCs w:val="21"/>
                <w:lang w:val="en-US" w:eastAsia="zh-CN"/>
              </w:rPr>
              <w:t>2</w:t>
            </w:r>
            <w:r>
              <w:rPr>
                <w:rFonts w:hint="eastAsia" w:ascii="宋体" w:hAnsi="宋体" w:eastAsia="宋体" w:cs="Arial"/>
                <w:spacing w:val="-6"/>
                <w:sz w:val="21"/>
                <w:szCs w:val="21"/>
                <w:lang w:eastAsia="zh-CN"/>
              </w:rPr>
              <w:t>合规性</w:t>
            </w:r>
            <w:r>
              <w:rPr>
                <w:rFonts w:hint="eastAsia" w:ascii="宋体" w:hAnsi="宋体" w:eastAsia="宋体" w:cs="Arial"/>
                <w:spacing w:val="-6"/>
                <w:sz w:val="21"/>
                <w:szCs w:val="21"/>
              </w:rPr>
              <w:t>评价、9.2内部审核、10.2不合格和纠正措施</w:t>
            </w:r>
          </w:p>
        </w:tc>
        <w:tc>
          <w:tcPr>
            <w:tcW w:w="101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rPr>
              <w:t>岗位、职责和权限</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spacing w:val="-6"/>
                <w:sz w:val="21"/>
                <w:szCs w:val="21"/>
                <w:lang w:val="en-US" w:eastAsia="zh-CN"/>
              </w:rPr>
              <w:t>QEO:5.3</w:t>
            </w:r>
          </w:p>
        </w:tc>
        <w:tc>
          <w:tcPr>
            <w:tcW w:w="10579"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i w:val="0"/>
                <w:iCs w:val="0"/>
                <w:color w:val="auto"/>
                <w:highlight w:val="none"/>
                <w:lang w:val="en-US" w:eastAsia="zh-CN"/>
              </w:rPr>
            </w:pPr>
            <w:r>
              <w:rPr>
                <w:rFonts w:hint="eastAsia" w:cs="Times New Roman"/>
                <w:i w:val="0"/>
                <w:iCs w:val="0"/>
                <w:color w:val="auto"/>
                <w:highlight w:val="none"/>
                <w:lang w:val="en-US" w:eastAsia="zh-CN"/>
              </w:rPr>
              <w:t>行政部</w:t>
            </w:r>
            <w:r>
              <w:rPr>
                <w:rFonts w:hint="default" w:ascii="Times New Roman" w:hAnsi="Times New Roman" w:cs="Times New Roman"/>
                <w:i w:val="0"/>
                <w:iCs w:val="0"/>
                <w:color w:val="auto"/>
                <w:highlight w:val="none"/>
                <w:lang w:val="en-US" w:eastAsia="zh-CN"/>
              </w:rPr>
              <w:t>现有</w:t>
            </w:r>
            <w:r>
              <w:rPr>
                <w:rFonts w:hint="eastAsia" w:cs="Times New Roman"/>
                <w:i w:val="0"/>
                <w:iCs w:val="0"/>
                <w:color w:val="auto"/>
                <w:highlight w:val="none"/>
                <w:lang w:val="en-US" w:eastAsia="zh-CN"/>
              </w:rPr>
              <w:t>10</w:t>
            </w:r>
            <w:r>
              <w:rPr>
                <w:rFonts w:hint="default" w:ascii="Times New Roman" w:hAnsi="Times New Roman" w:cs="Times New Roman"/>
                <w:i w:val="0"/>
                <w:iCs w:val="0"/>
                <w:color w:val="auto"/>
                <w:highlight w:val="none"/>
                <w:lang w:val="en-US" w:eastAsia="zh-CN"/>
              </w:rPr>
              <w:t>人</w:t>
            </w:r>
            <w:r>
              <w:rPr>
                <w:rFonts w:hint="eastAsia" w:cs="Times New Roman"/>
                <w:i w:val="0"/>
                <w:iCs w:val="0"/>
                <w:color w:val="auto"/>
                <w:highlight w:val="none"/>
                <w:lang w:val="en-US" w:eastAsia="zh-CN"/>
              </w:rPr>
              <w:t>，经理1人，主管1 人，保安6人，司机1 人，人力资源1人等；</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sz w:val="21"/>
                <w:szCs w:val="21"/>
                <w:lang w:val="en-US" w:eastAsia="zh-CN"/>
              </w:rPr>
            </w:pPr>
            <w:r>
              <w:rPr>
                <w:rFonts w:hint="eastAsia"/>
                <w:sz w:val="21"/>
                <w:szCs w:val="21"/>
                <w:lang w:val="en-US" w:eastAsia="zh-CN"/>
              </w:rPr>
              <w:t>部门主要职责：</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sz w:val="21"/>
                <w:szCs w:val="21"/>
              </w:rPr>
            </w:pPr>
            <w:r>
              <w:rPr>
                <w:rFonts w:hint="eastAsia"/>
                <w:sz w:val="21"/>
                <w:szCs w:val="21"/>
                <w:lang w:val="en-US" w:eastAsia="zh-CN"/>
              </w:rPr>
              <w:t>1、</w:t>
            </w:r>
            <w:r>
              <w:rPr>
                <w:sz w:val="21"/>
                <w:szCs w:val="21"/>
              </w:rPr>
              <w:t>.负责文件\记录\人力资源管理;</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sz w:val="21"/>
                <w:szCs w:val="21"/>
              </w:rPr>
            </w:pPr>
            <w:r>
              <w:rPr>
                <w:rFonts w:hint="eastAsia"/>
                <w:sz w:val="21"/>
                <w:szCs w:val="21"/>
                <w:lang w:val="en-US" w:eastAsia="zh-CN"/>
              </w:rPr>
              <w:t>2、</w:t>
            </w:r>
            <w:r>
              <w:rPr>
                <w:sz w:val="21"/>
                <w:szCs w:val="21"/>
              </w:rPr>
              <w:t>负责质量/环境/职业健康安全体系过程的监视和测量，绩效测量和监视；</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sz w:val="21"/>
                <w:szCs w:val="21"/>
              </w:rPr>
            </w:pPr>
            <w:r>
              <w:rPr>
                <w:rFonts w:hint="eastAsia"/>
                <w:sz w:val="21"/>
                <w:szCs w:val="21"/>
                <w:lang w:val="en-US" w:eastAsia="zh-CN"/>
              </w:rPr>
              <w:t>3、</w:t>
            </w:r>
            <w:r>
              <w:rPr>
                <w:rFonts w:hint="eastAsia"/>
                <w:sz w:val="21"/>
                <w:szCs w:val="21"/>
              </w:rPr>
              <w:t>负责组织本公司环境因素的识别、评价及初始环境评审；负责内部沟通,法律法规收集及合规性评价;</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sz w:val="21"/>
                <w:szCs w:val="21"/>
              </w:rPr>
            </w:pPr>
            <w:r>
              <w:rPr>
                <w:rFonts w:hint="eastAsia"/>
                <w:sz w:val="21"/>
                <w:szCs w:val="21"/>
                <w:lang w:val="en-US" w:eastAsia="zh-CN"/>
              </w:rPr>
              <w:t>4、</w:t>
            </w:r>
            <w:r>
              <w:rPr>
                <w:sz w:val="21"/>
                <w:szCs w:val="21"/>
              </w:rPr>
              <w:t>负责质量/环境/职业健康安全管理体系</w:t>
            </w:r>
            <w:r>
              <w:rPr>
                <w:rFonts w:hint="eastAsia"/>
                <w:sz w:val="21"/>
                <w:szCs w:val="21"/>
              </w:rPr>
              <w:t>不合格品</w:t>
            </w:r>
            <w:r>
              <w:rPr>
                <w:sz w:val="21"/>
                <w:szCs w:val="21"/>
              </w:rPr>
              <w:t>的控制及纠正、预防措施，不符合、纠正措施和预防措施，事故、事件、不符合、纠正与预防措施的控制；</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sz w:val="21"/>
                <w:szCs w:val="21"/>
              </w:rPr>
            </w:pPr>
            <w:r>
              <w:rPr>
                <w:rFonts w:hint="eastAsia"/>
                <w:sz w:val="21"/>
                <w:szCs w:val="21"/>
                <w:lang w:val="en-US" w:eastAsia="zh-CN"/>
              </w:rPr>
              <w:t>5、</w:t>
            </w:r>
            <w:r>
              <w:rPr>
                <w:sz w:val="21"/>
                <w:szCs w:val="21"/>
              </w:rPr>
              <w:t>负责数据分析；</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1"/>
                <w:szCs w:val="21"/>
                <w:lang w:val="en-US" w:eastAsia="zh-CN"/>
              </w:rPr>
            </w:pPr>
            <w:r>
              <w:rPr>
                <w:rFonts w:hint="eastAsia"/>
                <w:sz w:val="21"/>
                <w:szCs w:val="21"/>
                <w:lang w:val="en-US" w:eastAsia="zh-CN"/>
              </w:rPr>
              <w:t>6、</w:t>
            </w:r>
            <w:r>
              <w:rPr>
                <w:sz w:val="21"/>
                <w:szCs w:val="21"/>
              </w:rPr>
              <w:t>负责组织内部审核。</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color w:val="FF0000"/>
                <w:kern w:val="2"/>
                <w:sz w:val="21"/>
                <w:lang w:val="en-US" w:eastAsia="zh-CN" w:bidi="ar-SA"/>
              </w:rPr>
            </w:pPr>
            <w:r>
              <w:rPr>
                <w:rFonts w:hint="eastAsia" w:cs="Times New Roman"/>
                <w:color w:val="auto"/>
                <w:sz w:val="21"/>
                <w:szCs w:val="21"/>
                <w:lang w:val="en-US" w:eastAsia="zh-CN"/>
              </w:rPr>
              <w:t>7、本部门</w:t>
            </w:r>
            <w:r>
              <w:rPr>
                <w:rFonts w:hint="default" w:ascii="Times New Roman" w:hAnsi="Times New Roman" w:cs="Times New Roman"/>
                <w:color w:val="auto"/>
                <w:sz w:val="21"/>
                <w:szCs w:val="21"/>
                <w:lang w:val="en-US" w:eastAsia="zh-CN"/>
              </w:rPr>
              <w:t>环境因素、危险源的识别、评价及控制以及应急管理；</w:t>
            </w:r>
          </w:p>
        </w:tc>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lang w:val="en-US" w:eastAsia="zh-CN"/>
              </w:rPr>
            </w:pPr>
            <w:r>
              <w:rPr>
                <w:rFonts w:hint="default"/>
                <w:lang w:val="en-US" w:eastAsia="zh-CN"/>
              </w:rPr>
              <w:t>目标</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kern w:val="2"/>
                <w:sz w:val="21"/>
                <w:lang w:val="en-US" w:eastAsia="zh-CN" w:bidi="ar-SA"/>
              </w:rPr>
            </w:pPr>
            <w:r>
              <w:rPr>
                <w:rFonts w:hint="eastAsia" w:cs="Times New Roman"/>
                <w:color w:val="auto"/>
                <w:lang w:val="en-US" w:eastAsia="zh-CN"/>
              </w:rPr>
              <w:t>措施</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spacing w:val="-6"/>
                <w:sz w:val="21"/>
                <w:szCs w:val="21"/>
                <w:lang w:val="en-US" w:eastAsia="zh-CN"/>
              </w:rPr>
              <w:t>QEO:6.2</w:t>
            </w:r>
          </w:p>
        </w:tc>
        <w:tc>
          <w:tcPr>
            <w:tcW w:w="10579"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lang w:val="en-US" w:eastAsia="zh-CN"/>
              </w:rPr>
              <w:t>查见“目标分解考核表”，显示对目标进行了分解；</w:t>
            </w:r>
            <w:r>
              <w:rPr>
                <w:rFonts w:hint="default" w:ascii="Times New Roman" w:hAnsi="Times New Roman" w:cs="Times New Roman"/>
                <w:color w:val="auto"/>
                <w:highlight w:val="none"/>
                <w:lang w:val="en-US" w:eastAsia="zh-CN"/>
              </w:rPr>
              <w:t>见</w:t>
            </w:r>
            <w:r>
              <w:rPr>
                <w:rFonts w:hint="eastAsia" w:cs="Times New Roman"/>
                <w:color w:val="auto"/>
                <w:highlight w:val="none"/>
                <w:lang w:val="en-US" w:eastAsia="zh-CN"/>
              </w:rPr>
              <w:t>行政部</w:t>
            </w:r>
            <w:r>
              <w:rPr>
                <w:rFonts w:hint="default" w:ascii="Times New Roman" w:hAnsi="Times New Roman" w:cs="Times New Roman"/>
                <w:color w:val="auto"/>
                <w:highlight w:val="none"/>
                <w:lang w:val="en-US" w:eastAsia="zh-CN"/>
              </w:rPr>
              <w:t>的目标：</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eastAsia="zh-CN"/>
              </w:rPr>
            </w:pPr>
            <w:r>
              <w:rPr>
                <w:rFonts w:hint="eastAsia"/>
                <w:sz w:val="21"/>
                <w:szCs w:val="21"/>
              </w:rPr>
              <w:t>文件受控率达100%</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eastAsia="zh-CN"/>
              </w:rPr>
            </w:pPr>
            <w:r>
              <w:rPr>
                <w:rFonts w:hint="eastAsia"/>
                <w:sz w:val="21"/>
                <w:szCs w:val="21"/>
              </w:rPr>
              <w:t>培训合格率达100%</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eastAsia="zh-CN"/>
              </w:rPr>
            </w:pPr>
            <w:r>
              <w:rPr>
                <w:rFonts w:hint="eastAsia"/>
                <w:sz w:val="21"/>
                <w:szCs w:val="21"/>
              </w:rPr>
              <w:t>触电、火灾事故为0</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highlight w:val="none"/>
                <w:lang w:val="en-US" w:eastAsia="zh-CN"/>
              </w:rPr>
            </w:pPr>
            <w:r>
              <w:rPr>
                <w:rFonts w:hint="eastAsia"/>
                <w:sz w:val="21"/>
                <w:szCs w:val="21"/>
              </w:rPr>
              <w:t>固废分类处置率100%；</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制定“环境目标、指标/职业健康安全目标与管理方案及实施情况一览表”，对重要环境因素和不可接受风险的控制措施进行了策划；</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FF0000"/>
                <w:kern w:val="2"/>
                <w:sz w:val="21"/>
                <w:lang w:val="en-US" w:eastAsia="zh-CN" w:bidi="ar-SA"/>
              </w:rPr>
            </w:pPr>
            <w:r>
              <w:rPr>
                <w:rFonts w:hint="eastAsia" w:cs="Times New Roman" w:eastAsiaTheme="minorEastAsia"/>
                <w:color w:val="auto"/>
                <w:sz w:val="21"/>
                <w:szCs w:val="21"/>
                <w:lang w:val="en-US" w:eastAsia="zh-CN"/>
              </w:rPr>
              <w:t>“目标分解考核表”显示对目标完成情况进行了考核，2022年7月1日均完成。</w:t>
            </w:r>
          </w:p>
        </w:tc>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环境因素/危险源的识别与评价</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措施的策划</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EO:6.1.2</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6.1.4</w:t>
            </w:r>
          </w:p>
        </w:tc>
        <w:tc>
          <w:tcPr>
            <w:tcW w:w="10579"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提供了环境因素和危险源识别评价与控制程序。</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查“环境因素识别和评价表”，涉及行政部的环境因素有纸张使用能源消耗、办公场所吸烟污染环境、复印机打印机废墨盒处置污染环境、火灾发生后废弃物污染大气、水土等。考虑了生命周期观点。</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采取打分法评价；</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查“重要环境因素清单”，列有办公活动的潜在火灾为重要环境因素。</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查“危害辨识、风险评价、风险控制工作表”，识别了办公活动过程及相关方活动中的危险源，主要包括车辆伤害、火灾、中暑、其他伤害、机械伤害、其他伤害、起重伤害、物体打击等。</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对识别出的危险源采取D=LEC进行评价；</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imes New Roman" w:eastAsiaTheme="minorEastAsia"/>
                <w:color w:val="auto"/>
                <w:sz w:val="21"/>
                <w:szCs w:val="21"/>
                <w:highlight w:val="none"/>
                <w:lang w:val="en-US" w:eastAsia="zh-CN"/>
              </w:rPr>
            </w:pPr>
            <w:r>
              <w:rPr>
                <w:rFonts w:hint="eastAsia" w:cs="Times New Roman" w:eastAsiaTheme="minorEastAsia"/>
                <w:color w:val="auto"/>
                <w:sz w:val="21"/>
                <w:szCs w:val="21"/>
                <w:highlight w:val="none"/>
                <w:lang w:val="en-US" w:eastAsia="zh-CN"/>
              </w:rPr>
              <w:t>查“不可接受风险清单”，评价出行政部重大危险源包括：火灾伤害。</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策划了控制措施，制订了环境、职业健康安全管理方案。</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color w:val="auto"/>
                <w:kern w:val="2"/>
                <w:sz w:val="21"/>
                <w:lang w:val="en-US" w:eastAsia="zh-CN" w:bidi="ar-SA"/>
              </w:rPr>
            </w:pPr>
            <w:r>
              <w:rPr>
                <w:rFonts w:hint="eastAsia" w:cs="Times New Roman" w:eastAsiaTheme="minorEastAsia"/>
                <w:color w:val="auto"/>
                <w:sz w:val="21"/>
                <w:szCs w:val="21"/>
                <w:lang w:val="en-US" w:eastAsia="zh-CN"/>
              </w:rPr>
              <w:t>经组织评价，组织策划的措施基本能够满足风险和机遇应对需要，能够与识别的风险和机遇对产品符合性的潜在影响相适应，基本满足标准要求。</w:t>
            </w:r>
          </w:p>
        </w:tc>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0000FF"/>
                <w:kern w:val="2"/>
                <w:sz w:val="21"/>
                <w:lang w:val="en-US" w:eastAsia="zh-CN" w:bidi="ar-SA"/>
              </w:rPr>
            </w:pPr>
            <w:r>
              <w:rPr>
                <w:rFonts w:hint="default" w:ascii="Times New Roman" w:hAnsi="Times New Roman"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spacing w:after="0" w:line="360" w:lineRule="auto"/>
              <w:rPr>
                <w:rFonts w:hint="eastAsia" w:ascii="宋体" w:hAnsi="宋体"/>
                <w:b w:val="0"/>
                <w:bCs w:val="0"/>
                <w:sz w:val="21"/>
                <w:szCs w:val="21"/>
                <w:lang w:val="en-US" w:eastAsia="zh-CN"/>
              </w:rPr>
            </w:pPr>
            <w:r>
              <w:rPr>
                <w:rFonts w:hint="eastAsia" w:ascii="宋体" w:hAnsi="宋体"/>
                <w:b w:val="0"/>
                <w:bCs w:val="0"/>
                <w:sz w:val="21"/>
                <w:szCs w:val="21"/>
                <w:lang w:val="en-US" w:eastAsia="zh-CN"/>
              </w:rPr>
              <w:t>合规义务</w:t>
            </w:r>
          </w:p>
          <w:p>
            <w:pPr>
              <w:keepNext w:val="0"/>
              <w:keepLines w:val="0"/>
              <w:pageBreakBefore w:val="0"/>
              <w:widowControl w:val="0"/>
              <w:kinsoku/>
              <w:wordWrap/>
              <w:overflowPunct/>
              <w:topLinePunct w:val="0"/>
              <w:autoSpaceDE/>
              <w:autoSpaceDN/>
              <w:bidi w:val="0"/>
              <w:spacing w:after="0" w:line="360" w:lineRule="auto"/>
              <w:rPr>
                <w:rFonts w:hint="default" w:ascii="宋体" w:hAnsi="宋体" w:eastAsia="宋体" w:cs="Times New Roman"/>
                <w:b w:val="0"/>
                <w:bCs w:val="0"/>
                <w:kern w:val="2"/>
                <w:sz w:val="21"/>
                <w:szCs w:val="21"/>
                <w:lang w:val="en-US" w:eastAsia="zh-CN" w:bidi="ar-SA"/>
              </w:rPr>
            </w:pPr>
            <w:r>
              <w:rPr>
                <w:rFonts w:hint="eastAsia" w:ascii="宋体" w:hAnsi="宋体"/>
                <w:b w:val="0"/>
                <w:bCs w:val="0"/>
                <w:sz w:val="21"/>
                <w:szCs w:val="21"/>
              </w:rPr>
              <w:t>合规性评价</w:t>
            </w:r>
          </w:p>
        </w:tc>
        <w:tc>
          <w:tcPr>
            <w:tcW w:w="1093" w:type="dxa"/>
            <w:vAlign w:val="top"/>
          </w:tcPr>
          <w:p>
            <w:pPr>
              <w:keepNext w:val="0"/>
              <w:keepLines w:val="0"/>
              <w:pageBreakBefore w:val="0"/>
              <w:widowControl w:val="0"/>
              <w:kinsoku/>
              <w:wordWrap/>
              <w:overflowPunct/>
              <w:topLinePunct w:val="0"/>
              <w:autoSpaceDE/>
              <w:autoSpaceDN/>
              <w:bidi w:val="0"/>
              <w:spacing w:after="0" w:line="360" w:lineRule="auto"/>
              <w:rPr>
                <w:rFonts w:hint="eastAsia" w:ascii="宋体" w:hAnsi="宋体"/>
                <w:b w:val="0"/>
                <w:bCs w:val="0"/>
                <w:sz w:val="21"/>
                <w:szCs w:val="21"/>
                <w:lang w:val="en-US" w:eastAsia="zh-CN"/>
              </w:rPr>
            </w:pPr>
            <w:r>
              <w:rPr>
                <w:rFonts w:hint="eastAsia" w:ascii="宋体" w:hAnsi="宋体"/>
                <w:b w:val="0"/>
                <w:bCs w:val="0"/>
                <w:sz w:val="21"/>
                <w:szCs w:val="21"/>
                <w:lang w:val="en-US" w:eastAsia="zh-CN"/>
              </w:rPr>
              <w:t>EO:6.1.3</w:t>
            </w:r>
          </w:p>
          <w:p>
            <w:pPr>
              <w:keepNext w:val="0"/>
              <w:keepLines w:val="0"/>
              <w:pageBreakBefore w:val="0"/>
              <w:widowControl w:val="0"/>
              <w:kinsoku/>
              <w:wordWrap/>
              <w:overflowPunct/>
              <w:topLinePunct w:val="0"/>
              <w:autoSpaceDE/>
              <w:autoSpaceDN/>
              <w:bidi w:val="0"/>
              <w:spacing w:after="0" w:line="360" w:lineRule="auto"/>
              <w:rPr>
                <w:rFonts w:hint="default" w:ascii="宋体" w:hAnsi="宋体" w:eastAsia="宋体" w:cs="Times New Roman"/>
                <w:b w:val="0"/>
                <w:bCs w:val="0"/>
                <w:kern w:val="2"/>
                <w:sz w:val="21"/>
                <w:szCs w:val="21"/>
                <w:lang w:val="en-US" w:eastAsia="zh-CN" w:bidi="ar-SA"/>
              </w:rPr>
            </w:pPr>
            <w:r>
              <w:rPr>
                <w:rFonts w:hint="eastAsia" w:ascii="宋体" w:hAnsi="宋体"/>
                <w:b w:val="0"/>
                <w:bCs w:val="0"/>
                <w:sz w:val="21"/>
                <w:szCs w:val="21"/>
                <w:lang w:val="en-US" w:eastAsia="zh-CN"/>
              </w:rPr>
              <w:t>9.1.2</w:t>
            </w:r>
          </w:p>
        </w:tc>
        <w:tc>
          <w:tcPr>
            <w:tcW w:w="10579"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right="105" w:rightChars="50" w:firstLine="420" w:firstLineChars="200"/>
              <w:textAlignment w:val="auto"/>
              <w:rPr>
                <w:rFonts w:hint="eastAsia"/>
                <w:lang w:val="en-US" w:eastAsia="zh-CN"/>
              </w:rPr>
            </w:pPr>
            <w:r>
              <w:rPr>
                <w:rFonts w:hint="eastAsia"/>
                <w:lang w:val="en-US" w:eastAsia="zh-CN"/>
              </w:rPr>
              <w:t>编制了《法律法规和其他要求控制程序》，对法律法规的识别更新和应用进行规定。</w:t>
            </w:r>
          </w:p>
          <w:p>
            <w:pPr>
              <w:keepNext w:val="0"/>
              <w:keepLines w:val="0"/>
              <w:pageBreakBefore w:val="0"/>
              <w:widowControl w:val="0"/>
              <w:kinsoku/>
              <w:wordWrap/>
              <w:overflowPunct/>
              <w:topLinePunct w:val="0"/>
              <w:autoSpaceDE/>
              <w:autoSpaceDN/>
              <w:bidi w:val="0"/>
              <w:adjustRightInd/>
              <w:snapToGrid/>
              <w:spacing w:after="0" w:line="360" w:lineRule="auto"/>
              <w:ind w:right="105" w:rightChars="50" w:firstLine="420" w:firstLineChars="200"/>
              <w:textAlignment w:val="auto"/>
              <w:rPr>
                <w:rFonts w:hint="eastAsia"/>
                <w:lang w:val="en-US" w:eastAsia="zh-CN"/>
              </w:rPr>
            </w:pPr>
            <w:r>
              <w:rPr>
                <w:rFonts w:hint="eastAsia"/>
                <w:lang w:val="en-US" w:eastAsia="zh-CN"/>
              </w:rPr>
              <w:t>介绍说，主要通过网络、报纸杂志电视等新闻媒体、购买、上级下发等多种形式收集本公司适用的法律法规。</w:t>
            </w:r>
          </w:p>
          <w:p>
            <w:pPr>
              <w:keepNext w:val="0"/>
              <w:keepLines w:val="0"/>
              <w:pageBreakBefore w:val="0"/>
              <w:widowControl w:val="0"/>
              <w:kinsoku/>
              <w:wordWrap/>
              <w:overflowPunct/>
              <w:topLinePunct w:val="0"/>
              <w:autoSpaceDE/>
              <w:autoSpaceDN/>
              <w:bidi w:val="0"/>
              <w:adjustRightInd/>
              <w:snapToGrid/>
              <w:spacing w:after="0" w:line="360" w:lineRule="auto"/>
              <w:ind w:right="105" w:rightChars="50" w:firstLine="420" w:firstLineChars="200"/>
              <w:textAlignment w:val="auto"/>
              <w:rPr>
                <w:rFonts w:hint="default"/>
                <w:lang w:val="en-US" w:eastAsia="zh-CN"/>
              </w:rPr>
            </w:pPr>
            <w:r>
              <w:rPr>
                <w:rFonts w:hint="eastAsia"/>
                <w:lang w:val="en-US" w:eastAsia="zh-CN"/>
              </w:rPr>
              <w:t>提供了《适用的法律法规及其他要求一览表》，识别了企业相关环境和职业健康安全法律法规、标准和其他要求，如：中华人民共和国环境保护法、中华人民共和国环境噪声污染防治法、中华人民共和国大气污染防治法、中华人民共和国水污染防治法、中华人民共和国固体废物污染环境防治法、中华人民共和国节约能源法、中华人民共和国职业病防治法、中华人民共和国消防法、中华人民共和国食品安全法、中华人民共和国特种设备安全法、中华人民共和国劳动法、中华人民共和国妇女权益保障法、中华人民共和国安全生产法等。共计172余项，基本符合。</w:t>
            </w:r>
          </w:p>
          <w:p>
            <w:pPr>
              <w:keepNext w:val="0"/>
              <w:keepLines w:val="0"/>
              <w:pageBreakBefore w:val="0"/>
              <w:widowControl w:val="0"/>
              <w:kinsoku/>
              <w:wordWrap/>
              <w:overflowPunct/>
              <w:topLinePunct w:val="0"/>
              <w:autoSpaceDE/>
              <w:autoSpaceDN/>
              <w:bidi w:val="0"/>
              <w:adjustRightInd/>
              <w:snapToGrid/>
              <w:spacing w:after="0" w:line="360" w:lineRule="auto"/>
              <w:ind w:right="105" w:rightChars="50" w:firstLine="420" w:firstLineChars="200"/>
              <w:textAlignment w:val="auto"/>
              <w:rPr>
                <w:rFonts w:hint="eastAsia"/>
                <w:lang w:val="en-US" w:eastAsia="zh-CN"/>
              </w:rPr>
            </w:pPr>
            <w:r>
              <w:rPr>
                <w:rFonts w:hint="eastAsia"/>
                <w:lang w:val="en-US" w:eastAsia="zh-CN"/>
              </w:rPr>
              <w:t>已识别法律法规及其它要求的适用条款，并与环境因素、危险源进行了对应。</w:t>
            </w:r>
          </w:p>
          <w:p>
            <w:pPr>
              <w:keepNext w:val="0"/>
              <w:keepLines w:val="0"/>
              <w:pageBreakBefore w:val="0"/>
              <w:widowControl w:val="0"/>
              <w:kinsoku/>
              <w:wordWrap/>
              <w:overflowPunct/>
              <w:topLinePunct w:val="0"/>
              <w:autoSpaceDE/>
              <w:autoSpaceDN/>
              <w:bidi w:val="0"/>
              <w:adjustRightInd/>
              <w:snapToGrid/>
              <w:spacing w:after="0" w:line="360" w:lineRule="auto"/>
              <w:ind w:right="105" w:rightChars="50" w:firstLine="420" w:firstLineChars="200"/>
              <w:textAlignment w:val="auto"/>
              <w:rPr>
                <w:rFonts w:hint="eastAsia"/>
                <w:lang w:val="en-US" w:eastAsia="zh-CN"/>
              </w:rPr>
            </w:pPr>
            <w:r>
              <w:rPr>
                <w:rFonts w:hint="eastAsia"/>
                <w:lang w:val="en-US" w:eastAsia="zh-CN"/>
              </w:rPr>
              <w:t>公司通过培训、会议等方式向有关员工传达法律、法规及其它要求的相关要求。</w:t>
            </w:r>
          </w:p>
          <w:p>
            <w:pPr>
              <w:keepNext w:val="0"/>
              <w:keepLines w:val="0"/>
              <w:pageBreakBefore w:val="0"/>
              <w:widowControl w:val="0"/>
              <w:kinsoku/>
              <w:wordWrap/>
              <w:overflowPunct/>
              <w:topLinePunct w:val="0"/>
              <w:autoSpaceDE/>
              <w:autoSpaceDN/>
              <w:bidi w:val="0"/>
              <w:adjustRightInd/>
              <w:snapToGrid/>
              <w:spacing w:after="0" w:line="360" w:lineRule="auto"/>
              <w:ind w:right="105" w:rightChars="50" w:firstLine="396" w:firstLineChars="200"/>
              <w:textAlignment w:val="auto"/>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编制了《合规性评价控制程序》，其中规定了对本公司法规及其他要求的合规性评价的要求。</w:t>
            </w:r>
          </w:p>
          <w:p>
            <w:pPr>
              <w:keepNext w:val="0"/>
              <w:keepLines w:val="0"/>
              <w:pageBreakBefore w:val="0"/>
              <w:widowControl w:val="0"/>
              <w:kinsoku/>
              <w:wordWrap/>
              <w:overflowPunct/>
              <w:topLinePunct w:val="0"/>
              <w:autoSpaceDE/>
              <w:autoSpaceDN/>
              <w:bidi w:val="0"/>
              <w:adjustRightInd/>
              <w:snapToGrid/>
              <w:spacing w:after="0" w:line="360" w:lineRule="auto"/>
              <w:ind w:right="105" w:rightChars="50" w:firstLine="396" w:firstLineChars="200"/>
              <w:textAlignment w:val="auto"/>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提供了《合规性评价报告》，2022年3月26日对公司适用的法律法规及其他要求的遵守情况进行了评价，评价结论：公司没有违反国家法律、法规及相关标准，能严格遵守国家有关环境和职业健康安全管理方面的相关规定，密切关注法律法规的变化，并适时调整，严格按体系标准执行。</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eastAsia" w:ascii="Times New Roman" w:hAnsi="Times New Roman" w:eastAsia="宋体" w:cs="Times New Roman"/>
                <w:kern w:val="2"/>
                <w:sz w:val="21"/>
                <w:lang w:val="en-US" w:eastAsia="zh-CN" w:bidi="ar-SA"/>
              </w:rPr>
            </w:pPr>
            <w:r>
              <w:rPr>
                <w:rFonts w:hint="eastAsia" w:ascii="宋体" w:hAnsi="宋体" w:cs="Arial"/>
                <w:spacing w:val="-6"/>
                <w:sz w:val="21"/>
                <w:szCs w:val="21"/>
                <w:highlight w:val="none"/>
                <w:lang w:val="en-US" w:eastAsia="zh-CN"/>
              </w:rPr>
              <w:t>基本满足要求。</w:t>
            </w:r>
          </w:p>
        </w:tc>
        <w:tc>
          <w:tcPr>
            <w:tcW w:w="1010" w:type="dxa"/>
            <w:vAlign w:val="top"/>
          </w:tcPr>
          <w:p>
            <w:pPr>
              <w:keepNext w:val="0"/>
              <w:keepLines w:val="0"/>
              <w:pageBreakBefore w:val="0"/>
              <w:widowControl w:val="0"/>
              <w:kinsoku/>
              <w:wordWrap/>
              <w:overflowPunct/>
              <w:topLinePunct w:val="0"/>
              <w:autoSpaceDE/>
              <w:autoSpaceDN/>
              <w:bidi w:val="0"/>
              <w:spacing w:after="0" w:line="360" w:lineRule="auto"/>
              <w:rPr>
                <w:rFonts w:hint="default"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人员</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能力</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意识</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pacing w:val="-6"/>
                <w:sz w:val="21"/>
                <w:szCs w:val="21"/>
                <w:lang w:val="en-US" w:eastAsia="zh-CN"/>
              </w:rPr>
            </w:pPr>
            <w:r>
              <w:rPr>
                <w:rFonts w:hint="default" w:ascii="Times New Roman" w:hAnsi="Times New Roman" w:cs="Times New Roman"/>
                <w:color w:val="auto"/>
                <w:spacing w:val="-6"/>
                <w:sz w:val="21"/>
                <w:szCs w:val="21"/>
                <w:lang w:val="en-US" w:eastAsia="zh-CN"/>
              </w:rPr>
              <w:t>Q:7.1.2</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pacing w:val="-6"/>
                <w:sz w:val="21"/>
                <w:szCs w:val="21"/>
                <w:lang w:val="en-US" w:eastAsia="zh-CN"/>
              </w:rPr>
            </w:pPr>
            <w:r>
              <w:rPr>
                <w:rFonts w:hint="eastAsia" w:ascii="Times New Roman" w:hAnsi="Times New Roman" w:cs="Times New Roman"/>
                <w:color w:val="auto"/>
                <w:spacing w:val="-6"/>
                <w:sz w:val="21"/>
                <w:szCs w:val="21"/>
                <w:lang w:val="en-US" w:eastAsia="zh-CN"/>
              </w:rPr>
              <w:t>EO:7.1</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Times New Roman" w:hAnsi="Times New Roman" w:cs="Times New Roman"/>
                <w:color w:val="auto"/>
                <w:spacing w:val="-6"/>
                <w:sz w:val="21"/>
                <w:szCs w:val="21"/>
                <w:lang w:val="en-US" w:eastAsia="zh-CN"/>
              </w:rPr>
            </w:pPr>
            <w:r>
              <w:rPr>
                <w:rFonts w:hint="default" w:ascii="Times New Roman" w:hAnsi="Times New Roman" w:cs="Times New Roman"/>
                <w:color w:val="auto"/>
                <w:spacing w:val="-6"/>
                <w:sz w:val="21"/>
                <w:szCs w:val="21"/>
                <w:lang w:val="en-US" w:eastAsia="zh-CN"/>
              </w:rPr>
              <w:t>QEO:</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pacing w:val="-6"/>
                <w:sz w:val="21"/>
                <w:szCs w:val="21"/>
                <w:lang w:val="en-US" w:eastAsia="zh-CN"/>
              </w:rPr>
            </w:pPr>
            <w:r>
              <w:rPr>
                <w:rFonts w:hint="default" w:ascii="Times New Roman" w:hAnsi="Times New Roman" w:cs="Times New Roman"/>
                <w:color w:val="auto"/>
                <w:spacing w:val="-6"/>
                <w:sz w:val="21"/>
                <w:szCs w:val="21"/>
                <w:lang w:val="en-US" w:eastAsia="zh-CN"/>
              </w:rPr>
              <w:t>7.2</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cs="Times New Roman"/>
                <w:color w:val="auto"/>
                <w:spacing w:val="-6"/>
                <w:sz w:val="21"/>
                <w:szCs w:val="21"/>
                <w:lang w:val="en-US" w:eastAsia="zh-CN"/>
              </w:rPr>
              <w:t>7.3</w:t>
            </w:r>
          </w:p>
        </w:tc>
        <w:tc>
          <w:tcPr>
            <w:tcW w:w="10579"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公司能保证必要的资源，2022.1-2022.6，安全环保投入62万余元；基本满足。</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建立有《人力资源控制程序》，有效文件；</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公司现有人员</w:t>
            </w:r>
            <w:r>
              <w:rPr>
                <w:rFonts w:hint="eastAsia" w:cs="Times New Roman"/>
                <w:color w:val="auto"/>
                <w:highlight w:val="none"/>
                <w:lang w:val="en-US" w:eastAsia="zh-CN"/>
              </w:rPr>
              <w:t>120</w:t>
            </w:r>
            <w:r>
              <w:rPr>
                <w:rFonts w:hint="default" w:ascii="Times New Roman" w:hAnsi="Times New Roman" w:cs="Times New Roman"/>
                <w:color w:val="auto"/>
                <w:highlight w:val="none"/>
                <w:lang w:val="en-US" w:eastAsia="zh-CN"/>
              </w:rPr>
              <w:t>人，</w:t>
            </w:r>
            <w:r>
              <w:rPr>
                <w:rFonts w:hint="default" w:ascii="Times New Roman" w:hAnsi="Times New Roman" w:cs="Times New Roman"/>
                <w:color w:val="auto"/>
                <w:spacing w:val="-6"/>
                <w:sz w:val="21"/>
                <w:szCs w:val="21"/>
                <w:highlight w:val="none"/>
                <w:lang w:val="en-US" w:eastAsia="zh-CN"/>
              </w:rPr>
              <w:t>管理人员、技术人员能</w:t>
            </w:r>
            <w:r>
              <w:rPr>
                <w:rFonts w:hint="default" w:ascii="Times New Roman" w:hAnsi="Times New Roman" w:cs="Times New Roman"/>
                <w:color w:val="auto"/>
                <w:highlight w:val="none"/>
                <w:lang w:val="en-US" w:eastAsia="zh-CN"/>
              </w:rPr>
              <w:t>够有效实施管理体系，并运行和控制其过程。</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查见“2021年度员工培训计划”，计划202</w:t>
            </w:r>
            <w:r>
              <w:rPr>
                <w:rFonts w:hint="eastAsia" w:cs="Times New Roman"/>
                <w:color w:val="auto"/>
                <w:highlight w:val="none"/>
                <w:lang w:val="en-US" w:eastAsia="zh-CN"/>
              </w:rPr>
              <w:t>2</w:t>
            </w:r>
            <w:r>
              <w:rPr>
                <w:rFonts w:hint="default" w:ascii="Times New Roman" w:hAnsi="Times New Roman" w:cs="Times New Roman"/>
                <w:color w:val="auto"/>
                <w:highlight w:val="none"/>
                <w:lang w:val="en-US" w:eastAsia="zh-CN"/>
              </w:rPr>
              <w:t>年开展管理体系内审员培训、环境、安全法律法规的培训、岗位技能培训、生产操作规程等</w:t>
            </w:r>
            <w:r>
              <w:rPr>
                <w:rFonts w:hint="eastAsia" w:cs="Times New Roman"/>
                <w:color w:val="auto"/>
                <w:highlight w:val="none"/>
                <w:lang w:val="en-US" w:eastAsia="zh-CN"/>
              </w:rPr>
              <w:t>10</w:t>
            </w:r>
            <w:r>
              <w:rPr>
                <w:rFonts w:hint="default" w:ascii="Times New Roman" w:hAnsi="Times New Roman" w:cs="Times New Roman"/>
                <w:color w:val="auto"/>
                <w:highlight w:val="none"/>
                <w:lang w:val="en-US" w:eastAsia="zh-CN"/>
              </w:rPr>
              <w:t>项次；</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查“培训记录及培训效果评价表”，抽见：</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szCs w:val="21"/>
                <w:lang w:val="en-US" w:eastAsia="zh-CN"/>
              </w:rPr>
            </w:pPr>
            <w:r>
              <w:rPr>
                <w:rFonts w:hint="default" w:ascii="Times New Roman" w:hAnsi="Times New Roman" w:cs="Times New Roman"/>
                <w:color w:val="auto"/>
                <w:szCs w:val="22"/>
                <w:highlight w:val="none"/>
                <w:lang w:val="en-US" w:eastAsia="zh-CN"/>
              </w:rPr>
              <w:t>管理手册、程序文件</w:t>
            </w:r>
            <w:r>
              <w:rPr>
                <w:rFonts w:hint="eastAsia" w:cs="Times New Roman"/>
                <w:color w:val="auto"/>
                <w:szCs w:val="22"/>
                <w:highlight w:val="none"/>
                <w:lang w:val="en-US" w:eastAsia="zh-CN"/>
              </w:rPr>
              <w:t>——</w:t>
            </w:r>
            <w:r>
              <w:rPr>
                <w:rFonts w:hint="default" w:ascii="Times New Roman" w:hAnsi="Times New Roman" w:cs="Times New Roman"/>
                <w:color w:val="auto"/>
                <w:szCs w:val="22"/>
                <w:highlight w:val="none"/>
                <w:lang w:val="en-US" w:eastAsia="zh-CN"/>
              </w:rPr>
              <w:t>202</w:t>
            </w:r>
            <w:r>
              <w:rPr>
                <w:rFonts w:hint="eastAsia" w:cs="Times New Roman"/>
                <w:color w:val="auto"/>
                <w:szCs w:val="22"/>
                <w:highlight w:val="none"/>
                <w:lang w:val="en-US" w:eastAsia="zh-CN"/>
              </w:rPr>
              <w:t>2</w:t>
            </w:r>
            <w:r>
              <w:rPr>
                <w:rFonts w:hint="default" w:ascii="Times New Roman" w:hAnsi="Times New Roman" w:cs="Times New Roman"/>
                <w:color w:val="auto"/>
                <w:szCs w:val="22"/>
                <w:highlight w:val="none"/>
                <w:lang w:val="en-US" w:eastAsia="zh-CN"/>
              </w:rPr>
              <w:t>.</w:t>
            </w:r>
            <w:r>
              <w:rPr>
                <w:rFonts w:hint="eastAsia" w:cs="Times New Roman"/>
                <w:color w:val="auto"/>
                <w:szCs w:val="22"/>
                <w:highlight w:val="none"/>
                <w:lang w:val="en-US" w:eastAsia="zh-CN"/>
              </w:rPr>
              <w:t>2</w:t>
            </w:r>
            <w:r>
              <w:rPr>
                <w:rFonts w:hint="default" w:ascii="Times New Roman" w:hAnsi="Times New Roman" w:cs="Times New Roman"/>
                <w:color w:val="auto"/>
                <w:szCs w:val="22"/>
                <w:highlight w:val="none"/>
                <w:lang w:val="en-US" w:eastAsia="zh-CN"/>
              </w:rPr>
              <w:t>.</w:t>
            </w:r>
            <w:r>
              <w:rPr>
                <w:rFonts w:hint="eastAsia" w:cs="Times New Roman"/>
                <w:color w:val="auto"/>
                <w:szCs w:val="22"/>
                <w:highlight w:val="none"/>
                <w:lang w:val="en-US" w:eastAsia="zh-CN"/>
              </w:rPr>
              <w:t>27；</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管理体系内</w:t>
            </w:r>
            <w:r>
              <w:rPr>
                <w:rFonts w:hint="eastAsia" w:cs="Times New Roman"/>
                <w:color w:val="auto"/>
                <w:szCs w:val="22"/>
                <w:highlight w:val="none"/>
                <w:lang w:val="en-US" w:eastAsia="zh-CN"/>
              </w:rPr>
              <w:t>审员</w:t>
            </w:r>
            <w:r>
              <w:rPr>
                <w:rFonts w:hint="default" w:ascii="Times New Roman" w:hAnsi="Times New Roman" w:cs="Times New Roman"/>
                <w:color w:val="auto"/>
                <w:szCs w:val="22"/>
                <w:highlight w:val="none"/>
                <w:lang w:val="en-US" w:eastAsia="zh-CN"/>
              </w:rPr>
              <w:t>培训</w:t>
            </w:r>
            <w:r>
              <w:rPr>
                <w:rFonts w:hint="eastAsia" w:cs="Times New Roman"/>
                <w:color w:val="auto"/>
                <w:szCs w:val="22"/>
                <w:highlight w:val="none"/>
                <w:lang w:val="en-US" w:eastAsia="zh-CN"/>
              </w:rPr>
              <w:t>——</w:t>
            </w:r>
            <w:r>
              <w:rPr>
                <w:rFonts w:hint="default" w:ascii="Times New Roman" w:hAnsi="Times New Roman" w:cs="Times New Roman"/>
                <w:color w:val="auto"/>
                <w:szCs w:val="22"/>
                <w:highlight w:val="none"/>
                <w:lang w:val="en-US" w:eastAsia="zh-CN"/>
              </w:rPr>
              <w:t>202</w:t>
            </w:r>
            <w:r>
              <w:rPr>
                <w:rFonts w:hint="eastAsia" w:cs="Times New Roman"/>
                <w:color w:val="auto"/>
                <w:szCs w:val="22"/>
                <w:highlight w:val="none"/>
                <w:lang w:val="en-US" w:eastAsia="zh-CN"/>
              </w:rPr>
              <w:t>2</w:t>
            </w:r>
            <w:r>
              <w:rPr>
                <w:rFonts w:hint="default" w:ascii="Times New Roman" w:hAnsi="Times New Roman" w:cs="Times New Roman"/>
                <w:color w:val="auto"/>
                <w:szCs w:val="22"/>
                <w:highlight w:val="none"/>
                <w:lang w:val="en-US" w:eastAsia="zh-CN"/>
              </w:rPr>
              <w:t>.3.22</w:t>
            </w:r>
            <w:r>
              <w:rPr>
                <w:rFonts w:hint="eastAsia" w:cs="Times New Roman"/>
                <w:color w:val="auto"/>
                <w:szCs w:val="2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s="Times New Roman"/>
                <w:color w:val="auto"/>
                <w:szCs w:val="22"/>
                <w:highlight w:val="none"/>
                <w:lang w:val="en-US" w:eastAsia="zh-CN"/>
              </w:rPr>
            </w:pPr>
            <w:r>
              <w:rPr>
                <w:rFonts w:hint="default" w:cs="Times New Roman"/>
                <w:color w:val="auto"/>
                <w:szCs w:val="22"/>
                <w:highlight w:val="none"/>
                <w:lang w:val="en-US" w:eastAsia="zh-CN"/>
              </w:rPr>
              <w:t>公司</w:t>
            </w:r>
            <w:r>
              <w:rPr>
                <w:rFonts w:hint="eastAsia" w:cs="Times New Roman"/>
                <w:color w:val="auto"/>
                <w:szCs w:val="22"/>
                <w:highlight w:val="none"/>
                <w:lang w:val="en-US" w:eastAsia="zh-CN"/>
              </w:rPr>
              <w:t>岗位技能</w:t>
            </w:r>
            <w:r>
              <w:rPr>
                <w:rFonts w:hint="default" w:cs="Times New Roman"/>
                <w:color w:val="auto"/>
                <w:szCs w:val="22"/>
                <w:highlight w:val="none"/>
                <w:lang w:val="en-US" w:eastAsia="zh-CN"/>
              </w:rPr>
              <w:t>的培训</w:t>
            </w:r>
            <w:r>
              <w:rPr>
                <w:rFonts w:hint="eastAsia" w:cs="Times New Roman"/>
                <w:color w:val="auto"/>
                <w:szCs w:val="22"/>
                <w:highlight w:val="none"/>
                <w:lang w:val="en-US" w:eastAsia="zh-CN"/>
              </w:rPr>
              <w:t>——</w:t>
            </w:r>
            <w:r>
              <w:rPr>
                <w:rFonts w:hint="default" w:cs="Times New Roman"/>
                <w:color w:val="auto"/>
                <w:szCs w:val="22"/>
                <w:highlight w:val="none"/>
                <w:lang w:val="en-US" w:eastAsia="zh-CN"/>
              </w:rPr>
              <w:t>202</w:t>
            </w:r>
            <w:r>
              <w:rPr>
                <w:rFonts w:hint="eastAsia" w:cs="Times New Roman"/>
                <w:color w:val="auto"/>
                <w:szCs w:val="22"/>
                <w:highlight w:val="none"/>
                <w:lang w:val="en-US" w:eastAsia="zh-CN"/>
              </w:rPr>
              <w:t>2</w:t>
            </w:r>
            <w:r>
              <w:rPr>
                <w:rFonts w:hint="default" w:cs="Times New Roman"/>
                <w:color w:val="auto"/>
                <w:szCs w:val="22"/>
                <w:highlight w:val="none"/>
                <w:lang w:val="en-US" w:eastAsia="zh-CN"/>
              </w:rPr>
              <w:t>.</w:t>
            </w:r>
            <w:r>
              <w:rPr>
                <w:rFonts w:hint="eastAsia" w:cs="Times New Roman"/>
                <w:color w:val="auto"/>
                <w:szCs w:val="22"/>
                <w:highlight w:val="none"/>
                <w:lang w:val="en-US" w:eastAsia="zh-CN"/>
              </w:rPr>
              <w:t>5</w:t>
            </w:r>
            <w:r>
              <w:rPr>
                <w:rFonts w:hint="default" w:cs="Times New Roman"/>
                <w:color w:val="auto"/>
                <w:szCs w:val="22"/>
                <w:highlight w:val="none"/>
                <w:lang w:val="en-US" w:eastAsia="zh-CN"/>
              </w:rPr>
              <w:t>.16</w:t>
            </w:r>
            <w:r>
              <w:rPr>
                <w:rFonts w:hint="eastAsia" w:cs="Times New Roman"/>
                <w:color w:val="auto"/>
                <w:szCs w:val="2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考核及评价记录显示以口头问答的方式对培训效果进行了评价，培训达到预期的目的。</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olor w:val="FF0000"/>
                <w:lang w:val="en-US" w:eastAsia="zh-CN"/>
              </w:rPr>
            </w:pPr>
            <w:r>
              <w:rPr>
                <w:rFonts w:hint="eastAsia"/>
                <w:color w:val="auto"/>
                <w:lang w:val="en-US" w:eastAsia="zh-CN"/>
              </w:rPr>
              <w:t>查见公司新进员工蔡茂华、周玉华劳动合同和三级安全教育记录卡，</w:t>
            </w:r>
            <w:r>
              <w:rPr>
                <w:rFonts w:hint="eastAsia"/>
                <w:color w:val="FF0000"/>
                <w:lang w:val="en-US" w:eastAsia="zh-CN"/>
              </w:rPr>
              <w:t>未标注各级学时和考核成绩，与企业进行了沟通。</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查见人员证书：</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赵万坤——主要负责人，安全培训合格证书，有效期2023.12.29，九江久安安全生产培训服务有限公司；</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李煮——安全管理人员，安全培训合格证书，有效期2023.12.29，九江久安安全生产培训服务有限公司；</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s="Times New Roman"/>
                <w:color w:val="auto"/>
                <w:szCs w:val="22"/>
                <w:highlight w:val="none"/>
                <w:lang w:val="en-US" w:eastAsia="zh-CN"/>
              </w:rPr>
            </w:pPr>
            <w:r>
              <w:rPr>
                <w:rFonts w:hint="eastAsia" w:cs="Times New Roman"/>
                <w:color w:val="auto"/>
                <w:szCs w:val="22"/>
                <w:highlight w:val="none"/>
                <w:lang w:val="en-US" w:eastAsia="zh-CN"/>
              </w:rPr>
              <w:t>赵万坤——低压电工，有效期2023.6.13，江西省九江市应急管理局；</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宋心恒——叉车司机，有效期2022.7.9，九江市质量技术监督局；</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黄珍朴——锅炉工，有效期2024.3.九江市市场监督管理局；</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s="Times New Roman"/>
                <w:color w:val="auto"/>
                <w:szCs w:val="22"/>
                <w:highlight w:val="none"/>
                <w:lang w:val="en-US" w:eastAsia="zh-CN"/>
              </w:rPr>
            </w:pPr>
            <w:r>
              <w:rPr>
                <w:rFonts w:hint="eastAsia" w:cs="Times New Roman"/>
                <w:color w:val="auto"/>
                <w:szCs w:val="22"/>
                <w:highlight w:val="none"/>
                <w:lang w:val="en-US" w:eastAsia="zh-CN"/>
              </w:rPr>
              <w:t>周升森——驾驶员，有效期2024.12.27九江市公安局交警支队；</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意识：</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经与部门负责人沟通交流，主要通过培训提高岗位作业水平和环保、安全意识，询问部分员工，他们对公司的管理方针、管理目标、对环境、职业健康安全管理体系有效性的贡献，包括提高效率、技能带来的节能减排、保护员工健康等的益处，以及因自己岗位职责疏忽带来不符合给公司环境安全承诺带来的后果。</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员工能明确自身职责及岗位要求，自身工作影响，如何减少环境污染，员工人身安全意识等。</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szCs w:val="22"/>
                <w:highlight w:val="none"/>
                <w:lang w:val="en-US" w:eastAsia="zh-CN"/>
              </w:rPr>
              <w:t>基本能满足要求。</w:t>
            </w:r>
          </w:p>
        </w:tc>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default" w:cs="Times New Roman"/>
                <w:color w:val="auto"/>
                <w:lang w:val="en-US" w:eastAsia="zh-CN"/>
              </w:rPr>
            </w:pPr>
            <w:r>
              <w:rPr>
                <w:rFonts w:hint="eastAsia" w:cs="Times New Roman"/>
                <w:color w:val="auto"/>
                <w:lang w:val="en-US" w:eastAsia="zh-CN"/>
              </w:rPr>
              <w:t>Y</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0000FF"/>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组织知识</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pacing w:val="-6"/>
                <w:kern w:val="2"/>
                <w:sz w:val="21"/>
                <w:szCs w:val="21"/>
                <w:lang w:val="en-US" w:eastAsia="zh-CN" w:bidi="ar-SA"/>
              </w:rPr>
              <w:t>Q</w:t>
            </w:r>
            <w:r>
              <w:rPr>
                <w:rFonts w:hint="default" w:ascii="Times New Roman" w:hAnsi="Times New Roman" w:cs="Times New Roman"/>
                <w:color w:val="auto"/>
                <w:spacing w:val="-6"/>
                <w:kern w:val="2"/>
                <w:sz w:val="21"/>
                <w:szCs w:val="21"/>
                <w:lang w:val="en-US" w:eastAsia="zh-CN" w:bidi="ar-SA"/>
              </w:rPr>
              <w:t>:</w:t>
            </w:r>
            <w:r>
              <w:rPr>
                <w:rFonts w:hint="default" w:ascii="Times New Roman" w:hAnsi="Times New Roman" w:eastAsia="宋体" w:cs="Times New Roman"/>
                <w:color w:val="auto"/>
                <w:spacing w:val="-6"/>
                <w:kern w:val="2"/>
                <w:sz w:val="21"/>
                <w:szCs w:val="21"/>
                <w:lang w:val="en-US" w:eastAsia="zh-CN" w:bidi="ar-SA"/>
              </w:rPr>
              <w:t>7.1.6</w:t>
            </w:r>
          </w:p>
        </w:tc>
        <w:tc>
          <w:tcPr>
            <w:tcW w:w="10579" w:type="dxa"/>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各部门按照职责从内外部各种渠道获得与其职责相关所需的知识，包括操作规程、管理技巧与经验、失败和事故的案例分析、科研成果、商标等；把知识形成各种规章制度用于指导公司的日常工作和管理，包括体系文件、支持性文件、各种记录表单。</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从内部来源获取的有：多年的工作经验、教训、内部的知识产权等；</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外部来源获取有：标杆对比、行业会议、客户技术要求、咨询老师传授的体系知识及所实施的内审员的培训；顾客方提供的资料等。</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企业获取各项专利20项。</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cs="Times New Roman"/>
                <w:color w:val="auto"/>
                <w:szCs w:val="22"/>
                <w:highlight w:val="none"/>
                <w:lang w:val="en-US" w:eastAsia="zh-CN"/>
              </w:rPr>
              <w:t>在应对变化的需求和趋势时，相关部门考虑现有的知识，确定如何获取更多的必要的额外知识，并根据变化的情况及时更新。</w:t>
            </w:r>
          </w:p>
        </w:tc>
        <w:tc>
          <w:tcPr>
            <w:tcW w:w="1010"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kern w:val="2"/>
                <w:sz w:val="21"/>
                <w:lang w:val="en-US" w:eastAsia="zh-CN" w:bidi="ar-SA"/>
              </w:rPr>
            </w:pPr>
            <w:r>
              <w:rPr>
                <w:rFonts w:hint="default" w:ascii="Times New Roman" w:hAnsi="Times New Roman"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spacing w:val="-6"/>
                <w:sz w:val="21"/>
                <w:szCs w:val="21"/>
                <w:u w:val="none"/>
              </w:rPr>
              <w:t>运行策划和控制</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cs="Times New Roman"/>
                <w:color w:val="auto"/>
                <w:spacing w:val="-6"/>
                <w:sz w:val="21"/>
                <w:szCs w:val="21"/>
                <w:u w:val="none"/>
                <w:lang w:val="en-US" w:eastAsia="zh-CN"/>
              </w:rPr>
              <w:t>EO:</w:t>
            </w:r>
            <w:r>
              <w:rPr>
                <w:rFonts w:hint="default" w:ascii="Times New Roman" w:hAnsi="Times New Roman" w:cs="Times New Roman"/>
                <w:color w:val="auto"/>
                <w:spacing w:val="-6"/>
                <w:sz w:val="21"/>
                <w:szCs w:val="21"/>
                <w:u w:val="none"/>
              </w:rPr>
              <w:t>8.1</w:t>
            </w:r>
          </w:p>
        </w:tc>
        <w:tc>
          <w:tcPr>
            <w:tcW w:w="10579" w:type="dxa"/>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公司策划了环境安全管理相关程序文件和管理制度：运行控制程序、废弃物控制程序、噪声控制程序、消防控制程序、资源能源控制程序、应急准备和响应控制程序等；</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现场观察：</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ascii="宋体" w:hAnsi="宋体" w:eastAsia="宋体" w:cs="Arial"/>
                <w:spacing w:val="-6"/>
                <w:sz w:val="21"/>
                <w:szCs w:val="21"/>
                <w:highlight w:val="none"/>
                <w:lang w:val="en-US" w:eastAsia="zh-CN"/>
              </w:rPr>
              <w:t>办公面积大约</w:t>
            </w:r>
            <w:r>
              <w:rPr>
                <w:rFonts w:hint="eastAsia" w:ascii="宋体" w:hAnsi="宋体" w:cs="Arial"/>
                <w:spacing w:val="-6"/>
                <w:sz w:val="21"/>
                <w:szCs w:val="21"/>
                <w:highlight w:val="none"/>
                <w:lang w:val="en-US" w:eastAsia="zh-CN"/>
              </w:rPr>
              <w:t>2109</w:t>
            </w:r>
            <w:r>
              <w:rPr>
                <w:rFonts w:hint="eastAsia" w:ascii="宋体" w:hAnsi="宋体" w:eastAsia="宋体" w:cs="Arial"/>
                <w:spacing w:val="-6"/>
                <w:sz w:val="21"/>
                <w:szCs w:val="21"/>
                <w:highlight w:val="none"/>
                <w:lang w:val="en-US" w:eastAsia="zh-CN"/>
              </w:rPr>
              <w:t>平方米，工作场所布局合理，座椅和办公桌符合人体工程学要求，员工有自我防护意识，工间能适当走动、休息；各</w:t>
            </w:r>
            <w:r>
              <w:rPr>
                <w:rFonts w:hint="eastAsia" w:ascii="宋体" w:hAnsi="宋体" w:cs="Arial"/>
                <w:spacing w:val="-6"/>
                <w:sz w:val="21"/>
                <w:szCs w:val="21"/>
                <w:highlight w:val="none"/>
                <w:lang w:val="en-US" w:eastAsia="zh-CN"/>
              </w:rPr>
              <w:t>工作人员</w:t>
            </w:r>
            <w:r>
              <w:rPr>
                <w:rFonts w:hint="eastAsia" w:ascii="宋体" w:hAnsi="宋体" w:eastAsia="宋体" w:cs="Arial"/>
                <w:spacing w:val="-6"/>
                <w:sz w:val="21"/>
                <w:szCs w:val="21"/>
                <w:highlight w:val="none"/>
                <w:lang w:val="en-US" w:eastAsia="zh-CN"/>
              </w:rPr>
              <w:t>坐姿正确，避免过度疲劳；电脑显示器调整到保护视力的颜色；配置有适量的绿植，办公环境光照、温度适宜，通风良好，办公场所物品摆放整齐、有序，未见随意乱放私人物品的情况；满足办公需求</w:t>
            </w:r>
            <w:r>
              <w:rPr>
                <w:rFonts w:hint="eastAsia" w:ascii="宋体" w:hAnsi="宋体" w:cs="Arial"/>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b w:val="0"/>
                <w:color w:val="auto"/>
                <w:kern w:val="2"/>
                <w:sz w:val="21"/>
                <w:szCs w:val="22"/>
                <w:lang w:val="en-US" w:eastAsia="zh-CN" w:bidi="ar-SA"/>
              </w:rPr>
            </w:pPr>
            <w:r>
              <w:rPr>
                <w:rFonts w:hint="default" w:ascii="Times New Roman" w:hAnsi="Times New Roman" w:eastAsia="宋体" w:cs="Times New Roman"/>
                <w:b w:val="0"/>
                <w:kern w:val="2"/>
                <w:sz w:val="21"/>
                <w:szCs w:val="22"/>
                <w:lang w:val="en-US" w:eastAsia="zh-CN" w:bidi="ar-SA"/>
              </w:rPr>
              <w:t>电路、电源正常，电路布线合理、电气插座完整，未见破损，无乱拉乱接电线、使用超额电气等现象；未见用电不当等安全隐患及不良影响现</w:t>
            </w:r>
            <w:r>
              <w:rPr>
                <w:rFonts w:hint="default" w:ascii="Times New Roman" w:hAnsi="Times New Roman" w:eastAsia="宋体" w:cs="Times New Roman"/>
                <w:b w:val="0"/>
                <w:color w:val="auto"/>
                <w:kern w:val="2"/>
                <w:sz w:val="21"/>
                <w:szCs w:val="22"/>
                <w:lang w:val="en-US" w:eastAsia="zh-CN" w:bidi="ar-SA"/>
              </w:rPr>
              <w:t>象。</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查见配置有灭火器，</w:t>
            </w:r>
            <w:r>
              <w:rPr>
                <w:rFonts w:hint="eastAsia" w:cs="Times New Roman"/>
                <w:color w:val="auto"/>
                <w:szCs w:val="22"/>
                <w:highlight w:val="none"/>
                <w:lang w:val="en-US" w:eastAsia="zh-CN"/>
              </w:rPr>
              <w:t>微型消防站，</w:t>
            </w:r>
            <w:r>
              <w:rPr>
                <w:rFonts w:hint="default" w:ascii="Times New Roman" w:hAnsi="Times New Roman" w:cs="Times New Roman"/>
                <w:color w:val="auto"/>
                <w:szCs w:val="22"/>
                <w:highlight w:val="none"/>
                <w:lang w:val="en-US" w:eastAsia="zh-CN"/>
              </w:rPr>
              <w:t>状态良好</w:t>
            </w:r>
            <w:r>
              <w:rPr>
                <w:rFonts w:hint="eastAsia" w:ascii="Times New Roman" w:hAnsi="Times New Roman" w:cs="Times New Roman"/>
                <w:color w:val="auto"/>
                <w:szCs w:val="2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lang w:val="en-US" w:eastAsia="zh-CN"/>
              </w:rPr>
            </w:pPr>
            <w:r>
              <w:rPr>
                <w:rFonts w:hint="eastAsia" w:cs="Times New Roman"/>
                <w:color w:val="auto"/>
                <w:szCs w:val="22"/>
                <w:highlight w:val="none"/>
                <w:lang w:val="en-US" w:eastAsia="zh-CN"/>
              </w:rPr>
              <w:t>消防通道、应急指示良好，</w:t>
            </w:r>
            <w:r>
              <w:rPr>
                <w:rFonts w:hint="eastAsia"/>
                <w:lang w:val="en-US" w:eastAsia="zh-CN"/>
              </w:rPr>
              <w:t>监控摄像头运行正常；</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查见“劳动防护用品管理、发放标准和劳保用品领用登记表”，见发放了工作服、单面皮手套、防尘口罩、防目镜、电工鞋、防烫手套等；</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查见2022年6月1-30日九江博莱农业集团夜间值班检查登记表，检查区域：办公楼、生产区和车辆登记情况，值班人员：蔡文波，无异常情况发生。</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s="Times New Roman"/>
                <w:color w:val="auto"/>
                <w:szCs w:val="22"/>
                <w:highlight w:val="none"/>
                <w:lang w:val="en-US" w:eastAsia="zh-CN"/>
              </w:rPr>
            </w:pPr>
            <w:r>
              <w:rPr>
                <w:rFonts w:hint="eastAsia" w:cs="Times New Roman"/>
                <w:color w:val="auto"/>
                <w:szCs w:val="22"/>
                <w:highlight w:val="none"/>
                <w:lang w:val="en-US" w:eastAsia="zh-CN"/>
              </w:rPr>
              <w:t>查见2021年9月至2022年6月消防设施维护记录，维护人：周呈，提供了消防系统维护保养协议书，承接方：江西青安消防工程有限公司，协议执行日期：2021年7月20日至2024年7月19日。</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节约用水用电、纸张双面使用</w:t>
            </w:r>
            <w:r>
              <w:rPr>
                <w:rFonts w:hint="eastAsia" w:cs="Times New Roman"/>
                <w:color w:val="auto"/>
                <w:szCs w:val="2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生活废水经市政管网排放；</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办公环境安静，无明显噪声和废气；</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办公垃圾由环卫部门收集处理；</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办公用墨盒硒鼓等危废以旧换新；</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对部门员工进行了不定期的交通安全宣传；</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cs="Times New Roman"/>
                <w:color w:val="auto"/>
                <w:szCs w:val="22"/>
                <w:highlight w:val="none"/>
                <w:lang w:val="en-US" w:eastAsia="zh-CN"/>
              </w:rPr>
              <w:t>查见“相关方告知书”，有效文件，对供方进行了环境和职业健康安全有关事项的沟通。</w:t>
            </w:r>
          </w:p>
        </w:tc>
        <w:tc>
          <w:tcPr>
            <w:tcW w:w="1010"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0000FF"/>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cs="Times New Roman"/>
                <w:color w:val="auto"/>
                <w:spacing w:val="-6"/>
                <w:sz w:val="21"/>
                <w:szCs w:val="21"/>
                <w:u w:val="none"/>
                <w:lang w:eastAsia="zh-CN"/>
              </w:rPr>
              <w:t>应急准备和响应</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color w:val="auto"/>
                <w:spacing w:val="-6"/>
                <w:kern w:val="2"/>
                <w:sz w:val="21"/>
                <w:szCs w:val="21"/>
                <w:lang w:val="en-US" w:eastAsia="zh-CN" w:bidi="ar-SA"/>
              </w:rPr>
            </w:pPr>
            <w:r>
              <w:rPr>
                <w:rFonts w:hint="default" w:ascii="Times New Roman" w:hAnsi="Times New Roman" w:cs="Times New Roman"/>
                <w:color w:val="auto"/>
                <w:spacing w:val="-6"/>
                <w:sz w:val="21"/>
                <w:szCs w:val="21"/>
                <w:u w:val="none"/>
                <w:lang w:val="en-US" w:eastAsia="zh-CN"/>
              </w:rPr>
              <w:t>EO:</w:t>
            </w:r>
            <w:r>
              <w:rPr>
                <w:rFonts w:hint="default" w:ascii="Times New Roman" w:hAnsi="Times New Roman" w:cs="Times New Roman"/>
                <w:color w:val="auto"/>
                <w:spacing w:val="-6"/>
                <w:sz w:val="21"/>
                <w:szCs w:val="21"/>
                <w:u w:val="none"/>
              </w:rPr>
              <w:t>8.</w:t>
            </w:r>
            <w:r>
              <w:rPr>
                <w:rFonts w:hint="eastAsia" w:ascii="Times New Roman" w:hAnsi="Times New Roman" w:cs="Times New Roman"/>
                <w:color w:val="auto"/>
                <w:spacing w:val="-6"/>
                <w:sz w:val="21"/>
                <w:szCs w:val="21"/>
                <w:u w:val="none"/>
                <w:lang w:val="en-US" w:eastAsia="zh-CN"/>
              </w:rPr>
              <w:t>2</w:t>
            </w:r>
          </w:p>
        </w:tc>
        <w:tc>
          <w:tcPr>
            <w:tcW w:w="10579"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pPr>
            <w:r>
              <w:t>1</w:t>
            </w:r>
            <w:r>
              <w:rPr>
                <w:rFonts w:hint="eastAsia" w:cs="宋体"/>
              </w:rPr>
              <w:t>、查策划有《应急准备与响应控制程序》，编制有《</w:t>
            </w:r>
            <w:r>
              <w:rPr>
                <w:rFonts w:hint="eastAsia" w:cs="宋体"/>
                <w:lang w:val="en-US" w:eastAsia="zh-CN"/>
              </w:rPr>
              <w:t>江西博莱大药厂有限公司生产安全事故</w:t>
            </w:r>
            <w:r>
              <w:rPr>
                <w:rFonts w:hint="eastAsia" w:cs="宋体"/>
              </w:rPr>
              <w:t>应急预案</w:t>
            </w:r>
            <w:r>
              <w:rPr>
                <w:rFonts w:hint="eastAsia" w:cs="宋体"/>
                <w:lang w:val="en-US" w:eastAsia="zh-CN"/>
              </w:rPr>
              <w:t>2021.11</w:t>
            </w:r>
            <w:r>
              <w:rPr>
                <w:rFonts w:hint="eastAsia" w:cs="宋体"/>
              </w:rPr>
              <w:t>》</w:t>
            </w:r>
            <w:r>
              <w:rPr>
                <w:rFonts w:hint="eastAsia" w:cs="宋体"/>
                <w:lang w:eastAsia="zh-CN"/>
              </w:rPr>
              <w:t>，</w:t>
            </w:r>
            <w:r>
              <w:rPr>
                <w:rFonts w:hint="eastAsia" w:cs="宋体"/>
                <w:lang w:val="en-US" w:eastAsia="zh-CN"/>
              </w:rPr>
              <w:t>内有火灾事故、粉尘爆炸事故、中毒和窒息事故、液体危化品泄漏事故、特种设备事故专项应急预案和触电、机械伤害、物体打击、高处坠落等现场应急处置措施</w:t>
            </w:r>
            <w:r>
              <w:rPr>
                <w:rFonts w:hint="eastAsia" w:cs="宋体"/>
              </w:rPr>
              <w:t>。</w:t>
            </w:r>
          </w:p>
          <w:p>
            <w:pPr>
              <w:keepNext w:val="0"/>
              <w:keepLines w:val="0"/>
              <w:pageBreakBefore w:val="0"/>
              <w:widowControl w:val="0"/>
              <w:kinsoku/>
              <w:wordWrap/>
              <w:overflowPunct/>
              <w:topLinePunct w:val="0"/>
              <w:autoSpaceDE/>
              <w:autoSpaceDN/>
              <w:bidi w:val="0"/>
              <w:adjustRightInd/>
              <w:snapToGrid/>
              <w:spacing w:after="0" w:line="360" w:lineRule="auto"/>
              <w:textAlignment w:val="auto"/>
            </w:pPr>
            <w:r>
              <w:t>2</w:t>
            </w:r>
            <w:r>
              <w:rPr>
                <w:rFonts w:hint="eastAsia" w:cs="宋体"/>
              </w:rPr>
              <w:t>、</w:t>
            </w:r>
            <w:r>
              <w:rPr>
                <w:rFonts w:hint="eastAsia" w:cs="宋体"/>
                <w:lang w:val="en-US" w:eastAsia="zh-CN"/>
              </w:rPr>
              <w:t>提供了火灾爆炸和触电现场处置演练方案，</w:t>
            </w:r>
            <w:r>
              <w:rPr>
                <w:rFonts w:hint="eastAsia" w:cs="宋体"/>
              </w:rPr>
              <w:t>应急准备工作开展以下活动：</w:t>
            </w:r>
          </w:p>
          <w:p>
            <w:pPr>
              <w:keepNext w:val="0"/>
              <w:keepLines w:val="0"/>
              <w:pageBreakBefore w:val="0"/>
              <w:widowControl w:val="0"/>
              <w:kinsoku/>
              <w:wordWrap/>
              <w:overflowPunct/>
              <w:topLinePunct w:val="0"/>
              <w:autoSpaceDE/>
              <w:autoSpaceDN/>
              <w:bidi w:val="0"/>
              <w:adjustRightInd/>
              <w:snapToGrid/>
              <w:spacing w:after="0" w:line="360" w:lineRule="auto"/>
              <w:textAlignment w:val="auto"/>
            </w:pPr>
            <w:r>
              <w:t>——</w:t>
            </w:r>
            <w:r>
              <w:rPr>
                <w:rFonts w:hint="eastAsia" w:cs="宋体"/>
              </w:rPr>
              <w:t>建立有应急组织，提供出应急组织机构图、消防队人员名单、职责权限规定等。</w:t>
            </w:r>
          </w:p>
          <w:p>
            <w:pPr>
              <w:keepNext w:val="0"/>
              <w:keepLines w:val="0"/>
              <w:pageBreakBefore w:val="0"/>
              <w:widowControl w:val="0"/>
              <w:kinsoku/>
              <w:wordWrap/>
              <w:overflowPunct/>
              <w:topLinePunct w:val="0"/>
              <w:autoSpaceDE/>
              <w:autoSpaceDN/>
              <w:bidi w:val="0"/>
              <w:adjustRightInd/>
              <w:snapToGrid/>
              <w:spacing w:after="0" w:line="360" w:lineRule="auto"/>
              <w:textAlignment w:val="auto"/>
            </w:pPr>
            <w:r>
              <w:t>——</w:t>
            </w:r>
            <w:r>
              <w:rPr>
                <w:rFonts w:hint="eastAsia" w:cs="宋体"/>
              </w:rPr>
              <w:t>配备相应的消防</w:t>
            </w:r>
            <w:r>
              <w:rPr>
                <w:rFonts w:hint="eastAsia" w:cs="宋体"/>
                <w:lang w:eastAsia="zh-CN"/>
              </w:rPr>
              <w:t>、</w:t>
            </w:r>
            <w:r>
              <w:rPr>
                <w:rFonts w:hint="eastAsia" w:cs="宋体"/>
                <w:lang w:val="en-US" w:eastAsia="zh-CN"/>
              </w:rPr>
              <w:t>绝缘</w:t>
            </w:r>
            <w:r>
              <w:rPr>
                <w:rFonts w:hint="eastAsia" w:cs="宋体"/>
              </w:rPr>
              <w:t>器材。</w:t>
            </w:r>
          </w:p>
          <w:p>
            <w:pPr>
              <w:keepNext w:val="0"/>
              <w:keepLines w:val="0"/>
              <w:pageBreakBefore w:val="0"/>
              <w:widowControl w:val="0"/>
              <w:kinsoku/>
              <w:wordWrap/>
              <w:overflowPunct/>
              <w:topLinePunct w:val="0"/>
              <w:autoSpaceDE/>
              <w:autoSpaceDN/>
              <w:bidi w:val="0"/>
              <w:adjustRightInd/>
              <w:snapToGrid/>
              <w:spacing w:after="0" w:line="360" w:lineRule="auto"/>
              <w:textAlignment w:val="auto"/>
            </w:pPr>
            <w:r>
              <w:t>——</w:t>
            </w:r>
            <w:r>
              <w:rPr>
                <w:rFonts w:hint="eastAsia" w:cs="宋体"/>
              </w:rPr>
              <w:t>潜在的火灾爆炸</w:t>
            </w:r>
            <w:r>
              <w:rPr>
                <w:rFonts w:hint="eastAsia" w:cs="宋体"/>
                <w:lang w:eastAsia="zh-CN"/>
              </w:rPr>
              <w:t>、</w:t>
            </w:r>
            <w:r>
              <w:rPr>
                <w:rFonts w:hint="eastAsia" w:cs="宋体"/>
                <w:lang w:val="en-US" w:eastAsia="zh-CN"/>
              </w:rPr>
              <w:t>触电</w:t>
            </w:r>
            <w:r>
              <w:rPr>
                <w:rFonts w:hint="eastAsia" w:cs="宋体"/>
              </w:rPr>
              <w:t>的常识和能力的培训</w:t>
            </w:r>
          </w:p>
          <w:p>
            <w:pPr>
              <w:keepNext w:val="0"/>
              <w:keepLines w:val="0"/>
              <w:pageBreakBefore w:val="0"/>
              <w:widowControl w:val="0"/>
              <w:kinsoku/>
              <w:wordWrap/>
              <w:overflowPunct/>
              <w:topLinePunct w:val="0"/>
              <w:autoSpaceDE/>
              <w:autoSpaceDN/>
              <w:bidi w:val="0"/>
              <w:adjustRightInd/>
              <w:snapToGrid/>
              <w:spacing w:after="0" w:line="360" w:lineRule="auto"/>
              <w:textAlignment w:val="auto"/>
            </w:pPr>
            <w:r>
              <w:t>3</w:t>
            </w:r>
            <w:r>
              <w:rPr>
                <w:rFonts w:hint="eastAsia" w:cs="宋体"/>
              </w:rPr>
              <w:t>、该部门介绍开展了消防</w:t>
            </w:r>
            <w:r>
              <w:rPr>
                <w:rFonts w:hint="eastAsia" w:cs="宋体"/>
                <w:lang w:eastAsia="zh-CN"/>
              </w:rPr>
              <w:t>、</w:t>
            </w:r>
            <w:r>
              <w:rPr>
                <w:rFonts w:hint="eastAsia" w:cs="宋体"/>
                <w:lang w:val="en-US" w:eastAsia="zh-CN"/>
              </w:rPr>
              <w:t>绝缘</w:t>
            </w:r>
            <w:r>
              <w:rPr>
                <w:rFonts w:hint="eastAsia" w:cs="宋体"/>
              </w:rPr>
              <w:t>器材的使用和人员紧急疏散演练活动：</w:t>
            </w:r>
          </w:p>
          <w:p>
            <w:pPr>
              <w:keepNext w:val="0"/>
              <w:keepLines w:val="0"/>
              <w:pageBreakBefore w:val="0"/>
              <w:widowControl w:val="0"/>
              <w:kinsoku/>
              <w:wordWrap/>
              <w:overflowPunct/>
              <w:topLinePunct w:val="0"/>
              <w:autoSpaceDE/>
              <w:autoSpaceDN/>
              <w:bidi w:val="0"/>
              <w:adjustRightInd/>
              <w:snapToGrid/>
              <w:spacing w:after="0" w:line="360" w:lineRule="auto"/>
              <w:textAlignment w:val="auto"/>
            </w:pPr>
            <w:r>
              <w:rPr>
                <w:rFonts w:hint="eastAsia" w:cs="宋体"/>
              </w:rPr>
              <w:t>提供有</w:t>
            </w:r>
            <w:r>
              <w:t>20</w:t>
            </w:r>
            <w:r>
              <w:rPr>
                <w:rFonts w:hint="eastAsia"/>
                <w:lang w:val="en-US" w:eastAsia="zh-CN"/>
              </w:rPr>
              <w:t>21</w:t>
            </w:r>
            <w:r>
              <w:rPr>
                <w:rFonts w:hint="eastAsia" w:cs="宋体"/>
              </w:rPr>
              <w:t>年</w:t>
            </w:r>
            <w:r>
              <w:rPr>
                <w:rFonts w:hint="eastAsia"/>
                <w:lang w:val="en-US" w:eastAsia="zh-CN"/>
              </w:rPr>
              <w:t>7</w:t>
            </w:r>
            <w:r>
              <w:rPr>
                <w:rFonts w:hint="eastAsia" w:cs="宋体"/>
              </w:rPr>
              <w:t>月</w:t>
            </w:r>
            <w:r>
              <w:rPr>
                <w:rFonts w:hint="eastAsia"/>
                <w:lang w:val="en-US" w:eastAsia="zh-CN"/>
              </w:rPr>
              <w:t>15</w:t>
            </w:r>
            <w:r>
              <w:rPr>
                <w:rFonts w:hint="eastAsia" w:cs="宋体"/>
              </w:rPr>
              <w:t>日“</w:t>
            </w:r>
            <w:r>
              <w:rPr>
                <w:rFonts w:hint="eastAsia" w:cs="宋体"/>
                <w:lang w:val="en-US" w:eastAsia="zh-CN"/>
              </w:rPr>
              <w:t>触电演练记录</w:t>
            </w:r>
            <w:r>
              <w:rPr>
                <w:rFonts w:hint="eastAsia" w:cs="宋体"/>
              </w:rPr>
              <w:t>”。</w:t>
            </w:r>
          </w:p>
          <w:p>
            <w:pPr>
              <w:keepNext w:val="0"/>
              <w:keepLines w:val="0"/>
              <w:pageBreakBefore w:val="0"/>
              <w:widowControl w:val="0"/>
              <w:kinsoku/>
              <w:wordWrap/>
              <w:overflowPunct/>
              <w:topLinePunct w:val="0"/>
              <w:autoSpaceDE/>
              <w:autoSpaceDN/>
              <w:bidi w:val="0"/>
              <w:adjustRightInd/>
              <w:snapToGrid/>
              <w:spacing w:after="0" w:line="360" w:lineRule="auto"/>
              <w:textAlignment w:val="auto"/>
            </w:pPr>
            <w:r>
              <w:t>——</w:t>
            </w:r>
            <w:r>
              <w:rPr>
                <w:rFonts w:hint="eastAsia" w:cs="宋体"/>
              </w:rPr>
              <w:t>演练时间：</w:t>
            </w:r>
            <w:r>
              <w:t>20</w:t>
            </w:r>
            <w:r>
              <w:rPr>
                <w:rFonts w:hint="eastAsia"/>
                <w:lang w:val="en-US" w:eastAsia="zh-CN"/>
              </w:rPr>
              <w:t>21</w:t>
            </w:r>
            <w:r>
              <w:rPr>
                <w:rFonts w:hint="eastAsia" w:cs="宋体"/>
              </w:rPr>
              <w:t>年</w:t>
            </w:r>
            <w:r>
              <w:rPr>
                <w:rFonts w:hint="eastAsia"/>
                <w:lang w:val="en-US" w:eastAsia="zh-CN"/>
              </w:rPr>
              <w:t>7</w:t>
            </w:r>
            <w:r>
              <w:rPr>
                <w:rFonts w:hint="eastAsia" w:cs="宋体"/>
              </w:rPr>
              <w:t>月</w:t>
            </w:r>
            <w:r>
              <w:rPr>
                <w:rFonts w:hint="eastAsia"/>
                <w:lang w:val="en-US" w:eastAsia="zh-CN"/>
              </w:rPr>
              <w:t>15</w:t>
            </w:r>
            <w:r>
              <w:rPr>
                <w:rFonts w:hint="eastAsia" w:cs="宋体"/>
              </w:rPr>
              <w:t>日</w:t>
            </w:r>
            <w:r>
              <w:t>1</w:t>
            </w:r>
            <w:r>
              <w:rPr>
                <w:rFonts w:hint="eastAsia"/>
                <w:lang w:val="en-US" w:eastAsia="zh-CN"/>
              </w:rPr>
              <w:t>4</w:t>
            </w:r>
            <w:r>
              <w:rPr>
                <w:rFonts w:hint="eastAsia" w:cs="宋体"/>
              </w:rPr>
              <w:t>：</w:t>
            </w:r>
            <w:r>
              <w:t>30</w:t>
            </w:r>
            <w:r>
              <w:rPr>
                <w:rFonts w:hint="eastAsia" w:cs="宋体"/>
              </w:rPr>
              <w:t>；</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eastAsia="宋体"/>
                <w:lang w:val="en-US" w:eastAsia="zh-CN"/>
              </w:rPr>
            </w:pPr>
            <w:r>
              <w:t>——</w:t>
            </w:r>
            <w:r>
              <w:rPr>
                <w:rFonts w:hint="eastAsia" w:cs="宋体"/>
              </w:rPr>
              <w:t>演练组织部门：办公室；参加人员：</w:t>
            </w:r>
            <w:r>
              <w:rPr>
                <w:rFonts w:hint="eastAsia" w:cs="宋体"/>
                <w:lang w:val="en-US" w:eastAsia="zh-CN"/>
              </w:rPr>
              <w:t>各职能部门及生产一线人员。</w:t>
            </w:r>
          </w:p>
          <w:p>
            <w:pPr>
              <w:keepNext w:val="0"/>
              <w:keepLines w:val="0"/>
              <w:pageBreakBefore w:val="0"/>
              <w:widowControl w:val="0"/>
              <w:kinsoku/>
              <w:wordWrap/>
              <w:overflowPunct/>
              <w:topLinePunct w:val="0"/>
              <w:autoSpaceDE/>
              <w:autoSpaceDN/>
              <w:bidi w:val="0"/>
              <w:adjustRightInd/>
              <w:snapToGrid/>
              <w:spacing w:after="0" w:line="360" w:lineRule="auto"/>
              <w:textAlignment w:val="auto"/>
            </w:pPr>
            <w:r>
              <w:t>——</w:t>
            </w:r>
            <w:r>
              <w:rPr>
                <w:rFonts w:hint="eastAsia" w:cs="宋体"/>
              </w:rPr>
              <w:t>演练效果评价记录：通过演练，证明预案基本适宜，全体人员对预案的要求有了比较适宜的操作方法，可以有效履行预案的要求，对伤害事故起到良好的控制作用。</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宋体"/>
              </w:rPr>
            </w:pPr>
            <w:r>
              <w:t>——</w:t>
            </w:r>
            <w:r>
              <w:rPr>
                <w:rFonts w:hint="eastAsia" w:cs="宋体"/>
              </w:rPr>
              <w:t>对</w:t>
            </w:r>
            <w:r>
              <w:rPr>
                <w:rFonts w:hint="eastAsia" w:cs="宋体"/>
                <w:lang w:val="en-US" w:eastAsia="zh-CN"/>
              </w:rPr>
              <w:t>触电</w:t>
            </w:r>
            <w:r>
              <w:rPr>
                <w:rFonts w:hint="eastAsia" w:cs="宋体"/>
              </w:rPr>
              <w:t>应急预案的适用性、可操作性进行评审；符合要求。</w:t>
            </w:r>
          </w:p>
          <w:p>
            <w:pPr>
              <w:keepNext w:val="0"/>
              <w:keepLines w:val="0"/>
              <w:pageBreakBefore w:val="0"/>
              <w:widowControl w:val="0"/>
              <w:kinsoku/>
              <w:wordWrap/>
              <w:overflowPunct/>
              <w:topLinePunct w:val="0"/>
              <w:autoSpaceDE/>
              <w:autoSpaceDN/>
              <w:bidi w:val="0"/>
              <w:adjustRightInd/>
              <w:snapToGrid/>
              <w:spacing w:after="0" w:line="360" w:lineRule="auto"/>
              <w:textAlignment w:val="auto"/>
            </w:pPr>
            <w:r>
              <w:rPr>
                <w:rFonts w:hint="eastAsia" w:cs="宋体"/>
              </w:rPr>
              <w:t>提供有</w:t>
            </w:r>
            <w:r>
              <w:t>20</w:t>
            </w:r>
            <w:r>
              <w:rPr>
                <w:rFonts w:hint="eastAsia"/>
                <w:lang w:val="en-US" w:eastAsia="zh-CN"/>
              </w:rPr>
              <w:t>21</w:t>
            </w:r>
            <w:r>
              <w:rPr>
                <w:rFonts w:hint="eastAsia" w:cs="宋体"/>
              </w:rPr>
              <w:t>年</w:t>
            </w:r>
            <w:r>
              <w:rPr>
                <w:rFonts w:hint="eastAsia"/>
                <w:lang w:val="en-US" w:eastAsia="zh-CN"/>
              </w:rPr>
              <w:t>8</w:t>
            </w:r>
            <w:r>
              <w:rPr>
                <w:rFonts w:hint="eastAsia" w:cs="宋体"/>
              </w:rPr>
              <w:t>月</w:t>
            </w:r>
            <w:r>
              <w:rPr>
                <w:rFonts w:hint="eastAsia"/>
                <w:lang w:val="en-US" w:eastAsia="zh-CN"/>
              </w:rPr>
              <w:t>3</w:t>
            </w:r>
            <w:r>
              <w:rPr>
                <w:rFonts w:hint="eastAsia" w:cs="宋体"/>
              </w:rPr>
              <w:t>日“</w:t>
            </w:r>
            <w:r>
              <w:rPr>
                <w:rFonts w:hint="eastAsia" w:cs="宋体"/>
                <w:lang w:val="en-US" w:eastAsia="zh-CN"/>
              </w:rPr>
              <w:t>火灾爆炸演练记录</w:t>
            </w:r>
            <w:r>
              <w:rPr>
                <w:rFonts w:hint="eastAsia" w:cs="宋体"/>
              </w:rPr>
              <w:t>”。</w:t>
            </w:r>
          </w:p>
          <w:p>
            <w:pPr>
              <w:keepNext w:val="0"/>
              <w:keepLines w:val="0"/>
              <w:pageBreakBefore w:val="0"/>
              <w:widowControl w:val="0"/>
              <w:kinsoku/>
              <w:wordWrap/>
              <w:overflowPunct/>
              <w:topLinePunct w:val="0"/>
              <w:autoSpaceDE/>
              <w:autoSpaceDN/>
              <w:bidi w:val="0"/>
              <w:adjustRightInd/>
              <w:snapToGrid/>
              <w:spacing w:after="0" w:line="360" w:lineRule="auto"/>
              <w:textAlignment w:val="auto"/>
            </w:pPr>
            <w:r>
              <w:t>——</w:t>
            </w:r>
            <w:r>
              <w:rPr>
                <w:rFonts w:hint="eastAsia" w:cs="宋体"/>
              </w:rPr>
              <w:t>演练时间：</w:t>
            </w:r>
            <w:r>
              <w:t>20</w:t>
            </w:r>
            <w:r>
              <w:rPr>
                <w:rFonts w:hint="eastAsia"/>
                <w:lang w:val="en-US" w:eastAsia="zh-CN"/>
              </w:rPr>
              <w:t>21</w:t>
            </w:r>
            <w:r>
              <w:rPr>
                <w:rFonts w:hint="eastAsia" w:cs="宋体"/>
              </w:rPr>
              <w:t>年</w:t>
            </w:r>
            <w:r>
              <w:rPr>
                <w:rFonts w:hint="eastAsia"/>
                <w:lang w:val="en-US" w:eastAsia="zh-CN"/>
              </w:rPr>
              <w:t>8</w:t>
            </w:r>
            <w:r>
              <w:rPr>
                <w:rFonts w:hint="eastAsia" w:cs="宋体"/>
              </w:rPr>
              <w:t>月</w:t>
            </w:r>
            <w:r>
              <w:rPr>
                <w:rFonts w:hint="eastAsia"/>
                <w:lang w:val="en-US" w:eastAsia="zh-CN"/>
              </w:rPr>
              <w:t>3</w:t>
            </w:r>
            <w:r>
              <w:rPr>
                <w:rFonts w:hint="eastAsia" w:cs="宋体"/>
              </w:rPr>
              <w:t>日</w:t>
            </w:r>
            <w:r>
              <w:t>1</w:t>
            </w:r>
            <w:r>
              <w:rPr>
                <w:rFonts w:hint="eastAsia"/>
                <w:lang w:val="en-US" w:eastAsia="zh-CN"/>
              </w:rPr>
              <w:t>0</w:t>
            </w:r>
            <w:r>
              <w:rPr>
                <w:rFonts w:hint="eastAsia" w:cs="宋体"/>
              </w:rPr>
              <w:t>：</w:t>
            </w:r>
            <w:r>
              <w:rPr>
                <w:rFonts w:hint="eastAsia"/>
                <w:lang w:val="en-US" w:eastAsia="zh-CN"/>
              </w:rPr>
              <w:t>1</w:t>
            </w:r>
            <w:r>
              <w:t>0</w:t>
            </w:r>
            <w:r>
              <w:rPr>
                <w:rFonts w:hint="eastAsia" w:cs="宋体"/>
              </w:rPr>
              <w:t>；</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eastAsia="宋体"/>
                <w:lang w:val="en-US" w:eastAsia="zh-CN"/>
              </w:rPr>
            </w:pPr>
            <w:r>
              <w:t>——</w:t>
            </w:r>
            <w:r>
              <w:rPr>
                <w:rFonts w:hint="eastAsia" w:cs="宋体"/>
              </w:rPr>
              <w:t>演练组织部门：办公室；参加</w:t>
            </w:r>
            <w:r>
              <w:rPr>
                <w:rFonts w:hint="eastAsia" w:cs="宋体"/>
                <w:lang w:val="en-US" w:eastAsia="zh-CN"/>
              </w:rPr>
              <w:t>部门</w:t>
            </w:r>
            <w:r>
              <w:rPr>
                <w:rFonts w:hint="eastAsia" w:cs="宋体"/>
              </w:rPr>
              <w:t>：</w:t>
            </w:r>
            <w:r>
              <w:rPr>
                <w:rFonts w:hint="eastAsia" w:cs="宋体"/>
                <w:lang w:val="en-US" w:eastAsia="zh-CN"/>
              </w:rPr>
              <w:t>生产、采购、销售、质量控制等。</w:t>
            </w:r>
          </w:p>
          <w:p>
            <w:pPr>
              <w:keepNext w:val="0"/>
              <w:keepLines w:val="0"/>
              <w:pageBreakBefore w:val="0"/>
              <w:widowControl w:val="0"/>
              <w:kinsoku/>
              <w:wordWrap/>
              <w:overflowPunct/>
              <w:topLinePunct w:val="0"/>
              <w:autoSpaceDE/>
              <w:autoSpaceDN/>
              <w:bidi w:val="0"/>
              <w:adjustRightInd/>
              <w:snapToGrid/>
              <w:spacing w:after="0" w:line="360" w:lineRule="auto"/>
              <w:textAlignment w:val="auto"/>
            </w:pPr>
            <w:r>
              <w:t>——</w:t>
            </w:r>
            <w:r>
              <w:rPr>
                <w:rFonts w:hint="eastAsia" w:cs="宋体"/>
              </w:rPr>
              <w:t>演练效果评价记录：通过演练，证明预案基本适宜，全体人员对预案的要求有了比较适宜的操作方法，可以有效履行预案的要求，对伤害事故起到良好的控制作用。</w:t>
            </w:r>
          </w:p>
          <w:p>
            <w:pPr>
              <w:keepNext w:val="0"/>
              <w:keepLines w:val="0"/>
              <w:pageBreakBefore w:val="0"/>
              <w:widowControl w:val="0"/>
              <w:kinsoku/>
              <w:wordWrap/>
              <w:overflowPunct/>
              <w:topLinePunct w:val="0"/>
              <w:autoSpaceDE/>
              <w:autoSpaceDN/>
              <w:bidi w:val="0"/>
              <w:adjustRightInd/>
              <w:snapToGrid/>
              <w:spacing w:after="0" w:line="360" w:lineRule="auto"/>
              <w:textAlignment w:val="auto"/>
            </w:pPr>
            <w:r>
              <w:t>——</w:t>
            </w:r>
            <w:r>
              <w:rPr>
                <w:rFonts w:hint="eastAsia" w:cs="宋体"/>
              </w:rPr>
              <w:t>对</w:t>
            </w:r>
            <w:r>
              <w:rPr>
                <w:rFonts w:hint="eastAsia" w:cs="宋体"/>
                <w:lang w:val="en-US" w:eastAsia="zh-CN"/>
              </w:rPr>
              <w:t>火灾爆炸</w:t>
            </w:r>
            <w:r>
              <w:rPr>
                <w:rFonts w:hint="eastAsia" w:cs="宋体"/>
              </w:rPr>
              <w:t>应急预案的适用性、可操作性进行评审；符合要求。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kern w:val="2"/>
                <w:sz w:val="21"/>
                <w:szCs w:val="22"/>
                <w:highlight w:val="yellow"/>
                <w:lang w:val="en-US" w:eastAsia="zh-CN" w:bidi="ar-SA"/>
              </w:rPr>
            </w:pPr>
            <w:r>
              <w:rPr>
                <w:rFonts w:hint="eastAsia" w:cs="宋体"/>
                <w:lang w:val="zh-CN"/>
              </w:rPr>
              <w:t>现场查看，办公区域配置了灭火器，在有效期内。</w:t>
            </w:r>
          </w:p>
        </w:tc>
        <w:tc>
          <w:tcPr>
            <w:tcW w:w="1010"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成文信息</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lang w:val="en-US" w:eastAsia="zh-CN"/>
              </w:rPr>
            </w:pPr>
            <w:r>
              <w:rPr>
                <w:rFonts w:hint="default"/>
                <w:lang w:val="en-US" w:eastAsia="zh-CN"/>
              </w:rPr>
              <w:t>QEO:7.5</w:t>
            </w:r>
          </w:p>
          <w:p>
            <w:pPr>
              <w:pStyle w:val="9"/>
              <w:rPr>
                <w:rFonts w:hint="default"/>
                <w:lang w:val="en-US" w:eastAsia="zh-CN"/>
              </w:rPr>
            </w:pPr>
            <w:r>
              <w:rPr>
                <w:rFonts w:hint="eastAsia" w:cs="Times New Roman"/>
                <w:color w:val="auto"/>
                <w:spacing w:val="-6"/>
                <w:sz w:val="21"/>
                <w:szCs w:val="21"/>
                <w:lang w:val="en-US" w:eastAsia="zh-CN"/>
              </w:rPr>
              <w:t>Q8.1</w:t>
            </w:r>
          </w:p>
        </w:tc>
        <w:tc>
          <w:tcPr>
            <w:tcW w:w="10579" w:type="dxa"/>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为应对相应风险和机遇，公司依据GB/T19001-2016、GB/T24001-2016、GB/T45001-2020标准的要求并结合本公司的具体情况，采取PDCA的过程方法，建立、实施、保持并持续改进环境、职业健康安全管理体系。</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策划了工艺流程：</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 xml:space="preserve">水剂：制水/备瓶/配药——检验/化验——罐装——检验/化验——封装/包装 </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粉剂：原材料——配药——混合——检验——分装——检验——包装</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策划了与业务流程相关的环境因素、危险源辨识、风险评价的程序文件和控制措施；</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策划了公司的管理体系文件，包括：</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编制《管理手册》</w:t>
            </w:r>
            <w:r>
              <w:rPr>
                <w:rFonts w:hint="eastAsia" w:cs="Times New Roman"/>
                <w:color w:val="auto"/>
                <w:szCs w:val="22"/>
                <w:highlight w:val="none"/>
                <w:lang w:val="en-US" w:eastAsia="zh-CN"/>
              </w:rPr>
              <w:t>A</w:t>
            </w:r>
            <w:r>
              <w:rPr>
                <w:rFonts w:hint="eastAsia" w:ascii="Times New Roman" w:hAnsi="Times New Roman" w:cs="Times New Roman"/>
                <w:color w:val="auto"/>
                <w:szCs w:val="22"/>
                <w:highlight w:val="none"/>
                <w:lang w:val="en-US" w:eastAsia="zh-CN"/>
              </w:rPr>
              <w:t>/0版，管理体系于202</w:t>
            </w:r>
            <w:r>
              <w:rPr>
                <w:rFonts w:hint="eastAsia" w:cs="Times New Roman"/>
                <w:color w:val="auto"/>
                <w:szCs w:val="22"/>
                <w:highlight w:val="none"/>
                <w:lang w:val="en-US" w:eastAsia="zh-CN"/>
              </w:rPr>
              <w:t>2</w:t>
            </w:r>
            <w:r>
              <w:rPr>
                <w:rFonts w:hint="eastAsia" w:ascii="Times New Roman" w:hAnsi="Times New Roman" w:cs="Times New Roman"/>
                <w:color w:val="auto"/>
                <w:szCs w:val="22"/>
                <w:highlight w:val="none"/>
                <w:lang w:val="en-US" w:eastAsia="zh-CN"/>
              </w:rPr>
              <w:t>年0</w:t>
            </w:r>
            <w:r>
              <w:rPr>
                <w:rFonts w:hint="eastAsia" w:cs="Times New Roman"/>
                <w:color w:val="auto"/>
                <w:szCs w:val="22"/>
                <w:highlight w:val="none"/>
                <w:lang w:val="en-US" w:eastAsia="zh-CN"/>
              </w:rPr>
              <w:t>1</w:t>
            </w:r>
            <w:r>
              <w:rPr>
                <w:rFonts w:hint="eastAsia" w:ascii="Times New Roman" w:hAnsi="Times New Roman" w:cs="Times New Roman"/>
                <w:color w:val="auto"/>
                <w:szCs w:val="22"/>
                <w:highlight w:val="none"/>
                <w:lang w:val="en-US" w:eastAsia="zh-CN"/>
              </w:rPr>
              <w:t>月</w:t>
            </w:r>
            <w:r>
              <w:rPr>
                <w:rFonts w:hint="eastAsia" w:cs="Times New Roman"/>
                <w:color w:val="auto"/>
                <w:szCs w:val="22"/>
                <w:highlight w:val="none"/>
                <w:lang w:val="en-US" w:eastAsia="zh-CN"/>
              </w:rPr>
              <w:t>05</w:t>
            </w:r>
            <w:r>
              <w:rPr>
                <w:rFonts w:hint="eastAsia" w:ascii="Times New Roman" w:hAnsi="Times New Roman" w:cs="Times New Roman"/>
                <w:color w:val="auto"/>
                <w:szCs w:val="22"/>
                <w:highlight w:val="none"/>
                <w:lang w:val="en-US" w:eastAsia="zh-CN"/>
              </w:rPr>
              <w:t>日发布实施；</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编制程序文件2</w:t>
            </w:r>
            <w:r>
              <w:rPr>
                <w:rFonts w:hint="eastAsia" w:cs="Times New Roman"/>
                <w:color w:val="auto"/>
                <w:szCs w:val="22"/>
                <w:highlight w:val="none"/>
                <w:lang w:val="en-US" w:eastAsia="zh-CN"/>
              </w:rPr>
              <w:t>7</w:t>
            </w:r>
            <w:r>
              <w:rPr>
                <w:rFonts w:hint="eastAsia" w:ascii="Times New Roman" w:hAnsi="Times New Roman" w:cs="Times New Roman"/>
                <w:color w:val="auto"/>
                <w:szCs w:val="22"/>
                <w:highlight w:val="none"/>
                <w:lang w:val="en-US" w:eastAsia="zh-CN"/>
              </w:rPr>
              <w:t>个，版本号：</w:t>
            </w:r>
            <w:r>
              <w:rPr>
                <w:rFonts w:hint="eastAsia" w:cs="Times New Roman"/>
                <w:color w:val="auto"/>
                <w:szCs w:val="22"/>
                <w:highlight w:val="none"/>
                <w:lang w:val="en-US" w:eastAsia="zh-CN"/>
              </w:rPr>
              <w:t>A</w:t>
            </w:r>
            <w:r>
              <w:rPr>
                <w:rFonts w:hint="eastAsia" w:ascii="Times New Roman" w:hAnsi="Times New Roman" w:cs="Times New Roman"/>
                <w:color w:val="auto"/>
                <w:szCs w:val="22"/>
                <w:highlight w:val="none"/>
                <w:lang w:val="en-US" w:eastAsia="zh-CN"/>
              </w:rPr>
              <w:t>/0，202</w:t>
            </w:r>
            <w:r>
              <w:rPr>
                <w:rFonts w:hint="eastAsia" w:cs="Times New Roman"/>
                <w:color w:val="auto"/>
                <w:szCs w:val="22"/>
                <w:highlight w:val="none"/>
                <w:lang w:val="en-US" w:eastAsia="zh-CN"/>
              </w:rPr>
              <w:t>2</w:t>
            </w:r>
            <w:r>
              <w:rPr>
                <w:rFonts w:hint="eastAsia" w:ascii="Times New Roman" w:hAnsi="Times New Roman" w:cs="Times New Roman"/>
                <w:color w:val="auto"/>
                <w:szCs w:val="22"/>
                <w:highlight w:val="none"/>
                <w:lang w:val="en-US" w:eastAsia="zh-CN"/>
              </w:rPr>
              <w:t>年0</w:t>
            </w:r>
            <w:r>
              <w:rPr>
                <w:rFonts w:hint="eastAsia" w:cs="Times New Roman"/>
                <w:color w:val="auto"/>
                <w:szCs w:val="22"/>
                <w:highlight w:val="none"/>
                <w:lang w:val="en-US" w:eastAsia="zh-CN"/>
              </w:rPr>
              <w:t>1</w:t>
            </w:r>
            <w:r>
              <w:rPr>
                <w:rFonts w:hint="eastAsia" w:ascii="Times New Roman" w:hAnsi="Times New Roman" w:cs="Times New Roman"/>
                <w:color w:val="auto"/>
                <w:szCs w:val="22"/>
                <w:highlight w:val="none"/>
                <w:lang w:val="en-US" w:eastAsia="zh-CN"/>
              </w:rPr>
              <w:t>月</w:t>
            </w:r>
            <w:r>
              <w:rPr>
                <w:rFonts w:hint="eastAsia" w:cs="Times New Roman"/>
                <w:color w:val="auto"/>
                <w:szCs w:val="22"/>
                <w:highlight w:val="none"/>
                <w:lang w:val="en-US" w:eastAsia="zh-CN"/>
              </w:rPr>
              <w:t>05</w:t>
            </w:r>
            <w:r>
              <w:rPr>
                <w:rFonts w:hint="eastAsia" w:ascii="Times New Roman" w:hAnsi="Times New Roman" w:cs="Times New Roman"/>
                <w:color w:val="auto"/>
                <w:szCs w:val="22"/>
                <w:highlight w:val="none"/>
                <w:lang w:val="en-US" w:eastAsia="zh-CN"/>
              </w:rPr>
              <w:t>日实施；</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编制有管理文件：员工职业健康及劳动保护管理规定</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培训管理制度</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能源使用管理规定</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产品搬运、储存、防护操作规程</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设备管理制度</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安全防火规程</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安全生产管理制度</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质量管理制度</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特殊过程能力评价准则</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安全操作规程</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选择评价和重新评价供方的准则</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进货验收规范等；</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建立有外来文件清单，收集法律法规和技术标准、规范等；中华人民共和国产品质量法</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中华人民共和国安全生产法</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中华人民共和国环境保护法</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中华人民共和国消防法</w:t>
            </w:r>
            <w:r>
              <w:rPr>
                <w:rFonts w:hint="eastAsia" w:cs="Times New Roman"/>
                <w:color w:val="auto"/>
                <w:szCs w:val="22"/>
                <w:highlight w:val="none"/>
                <w:lang w:val="en-US" w:eastAsia="zh-CN"/>
              </w:rPr>
              <w:t>、污水</w:t>
            </w:r>
            <w:r>
              <w:rPr>
                <w:rFonts w:hint="eastAsia" w:ascii="Times New Roman" w:hAnsi="Times New Roman" w:cs="Times New Roman"/>
                <w:color w:val="auto"/>
                <w:szCs w:val="22"/>
                <w:highlight w:val="none"/>
                <w:lang w:val="en-US" w:eastAsia="zh-CN"/>
              </w:rPr>
              <w:t>处理设备技术条件</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袋式除尘技术要求</w:t>
            </w:r>
            <w:r>
              <w:rPr>
                <w:rFonts w:hint="eastAsia" w:cs="Times New Roman"/>
                <w:color w:val="auto"/>
                <w:szCs w:val="22"/>
                <w:highlight w:val="none"/>
                <w:lang w:val="en-US" w:eastAsia="zh-CN"/>
              </w:rPr>
              <w:t>、</w:t>
            </w:r>
            <w:r>
              <w:rPr>
                <w:rFonts w:hint="eastAsia"/>
              </w:rPr>
              <w:t>食品安全国家标准食品中兽药最大残留限量</w:t>
            </w:r>
            <w:r>
              <w:rPr>
                <w:rFonts w:hint="eastAsia"/>
                <w:lang w:eastAsia="zh-CN"/>
              </w:rPr>
              <w:t>、</w:t>
            </w:r>
            <w:r>
              <w:rPr>
                <w:rFonts w:hint="eastAsia"/>
                <w:sz w:val="22"/>
                <w:szCs w:val="22"/>
              </w:rPr>
              <w:t>中华人民共和国兽药典</w:t>
            </w:r>
            <w:r>
              <w:rPr>
                <w:rFonts w:hint="eastAsia"/>
                <w:sz w:val="22"/>
                <w:szCs w:val="22"/>
                <w:lang w:val="en-US" w:eastAsia="zh-CN"/>
              </w:rPr>
              <w:t>；</w:t>
            </w:r>
            <w:r>
              <w:rPr>
                <w:rFonts w:hint="eastAsia" w:ascii="Times New Roman" w:hAnsi="Times New Roman" w:cs="Times New Roman"/>
                <w:color w:val="auto"/>
                <w:szCs w:val="22"/>
                <w:highlight w:val="none"/>
                <w:lang w:val="en-US" w:eastAsia="zh-CN"/>
              </w:rPr>
              <w:t>建立环境、职业健康安全法律法规和其他要求清单，共</w:t>
            </w:r>
            <w:r>
              <w:rPr>
                <w:rFonts w:hint="eastAsia" w:cs="Times New Roman"/>
                <w:color w:val="auto"/>
                <w:szCs w:val="22"/>
                <w:highlight w:val="none"/>
                <w:lang w:val="en-US" w:eastAsia="zh-CN"/>
              </w:rPr>
              <w:t>172</w:t>
            </w:r>
            <w:r>
              <w:rPr>
                <w:rFonts w:hint="eastAsia" w:ascii="Times New Roman" w:hAnsi="Times New Roman" w:cs="Times New Roman"/>
                <w:color w:val="auto"/>
                <w:szCs w:val="22"/>
                <w:highlight w:val="none"/>
                <w:lang w:val="en-US" w:eastAsia="zh-CN"/>
              </w:rPr>
              <w:t>个。</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文件化管理体系目前基本满足要求。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——在编制体系文件时，对文件进行标识，主要有文件名称/编制部门/批准日期/文件编号等，经查管理手册/程序文件基本符合标准要求。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管理体系文件经过总经理审批实施发布，经评审，目前文件和目录均适用。符合要求。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——编制《文件控制程序》，内容符合基本标准要求。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抽查：受控文件清单、管理评审计划、培训计划、环境因素、职业健康安全危险源识别与评价表等，其成文信息标识清晰，填写基本齐全、清晰，成文信息在文件柜中分类编目保存，成文信息的贮存和保护符合要求，检索方便。</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成文信息由各部门负责保存，以便查阅。</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cs="Times New Roman"/>
                <w:color w:val="auto"/>
                <w:szCs w:val="22"/>
                <w:highlight w:val="none"/>
                <w:lang w:val="en-US" w:eastAsia="zh-CN"/>
              </w:rPr>
              <w:t>经查，基本符合标准要求。</w:t>
            </w:r>
          </w:p>
        </w:tc>
        <w:tc>
          <w:tcPr>
            <w:tcW w:w="1010"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0000FF"/>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spacing w:val="-6"/>
                <w:sz w:val="21"/>
                <w:szCs w:val="21"/>
                <w:u w:val="none"/>
              </w:rPr>
            </w:pPr>
            <w:r>
              <w:rPr>
                <w:rFonts w:hint="default" w:ascii="Times New Roman" w:hAnsi="Times New Roman" w:cs="Times New Roman"/>
                <w:spacing w:val="-6"/>
                <w:sz w:val="21"/>
                <w:szCs w:val="21"/>
                <w:u w:val="none"/>
              </w:rPr>
              <w:t>监视、测量、分析和评价总则</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spacing w:val="-6"/>
                <w:sz w:val="21"/>
                <w:szCs w:val="21"/>
                <w:u w:val="none"/>
              </w:rPr>
              <w:t>分析与评价</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pacing w:val="-6"/>
                <w:kern w:val="2"/>
                <w:sz w:val="21"/>
                <w:szCs w:val="21"/>
                <w:lang w:val="en-US" w:eastAsia="zh-CN" w:bidi="ar-SA"/>
              </w:rPr>
            </w:pPr>
            <w:r>
              <w:rPr>
                <w:rFonts w:hint="default" w:ascii="Times New Roman" w:hAnsi="Times New Roman" w:cs="Times New Roman"/>
                <w:color w:val="auto"/>
                <w:spacing w:val="-6"/>
                <w:kern w:val="2"/>
                <w:sz w:val="21"/>
                <w:szCs w:val="21"/>
                <w:lang w:val="en-US" w:eastAsia="zh-CN" w:bidi="ar-SA"/>
              </w:rPr>
              <w:t>QEO:9.1.1</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kern w:val="2"/>
                <w:sz w:val="21"/>
                <w:lang w:val="en-US" w:eastAsia="zh-CN" w:bidi="ar-SA"/>
              </w:rPr>
            </w:pPr>
            <w:r>
              <w:rPr>
                <w:rFonts w:hint="default" w:ascii="Times New Roman" w:hAnsi="Times New Roman" w:cs="Times New Roman"/>
                <w:color w:val="auto"/>
                <w:spacing w:val="-6"/>
                <w:kern w:val="2"/>
                <w:sz w:val="21"/>
                <w:szCs w:val="21"/>
                <w:lang w:val="en-US" w:eastAsia="zh-CN" w:bidi="ar-SA"/>
              </w:rPr>
              <w:t>Q:9.1.3</w:t>
            </w:r>
          </w:p>
        </w:tc>
        <w:tc>
          <w:tcPr>
            <w:tcW w:w="10579" w:type="dxa"/>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公司保持有“监视和测量控制程序”，有效文件，无变化。</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保留“目标分解考核表”，对目标完成情况进行绩效考核；</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查见“环境安全运行检查记录”，每月对设备维护、固废、能源消耗等进行了检查，均正常；</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查见“消防器材台账及检查记录”，抽见202</w:t>
            </w:r>
            <w:r>
              <w:rPr>
                <w:rFonts w:hint="eastAsia" w:cs="Times New Roman"/>
                <w:color w:val="auto"/>
                <w:szCs w:val="22"/>
                <w:highlight w:val="none"/>
                <w:lang w:val="en-US" w:eastAsia="zh-CN"/>
              </w:rPr>
              <w:t>2</w:t>
            </w:r>
            <w:r>
              <w:rPr>
                <w:rFonts w:hint="default" w:ascii="Times New Roman" w:hAnsi="Times New Roman" w:cs="Times New Roman"/>
                <w:color w:val="auto"/>
                <w:szCs w:val="22"/>
                <w:highlight w:val="none"/>
                <w:lang w:val="en-US" w:eastAsia="zh-CN"/>
              </w:rPr>
              <w:t>.</w:t>
            </w:r>
            <w:r>
              <w:rPr>
                <w:rFonts w:hint="eastAsia" w:cs="Times New Roman"/>
                <w:color w:val="auto"/>
                <w:szCs w:val="22"/>
                <w:highlight w:val="none"/>
                <w:lang w:val="en-US" w:eastAsia="zh-CN"/>
              </w:rPr>
              <w:t>1-6</w:t>
            </w:r>
            <w:r>
              <w:rPr>
                <w:rFonts w:hint="default" w:ascii="Times New Roman" w:hAnsi="Times New Roman" w:cs="Times New Roman"/>
                <w:color w:val="auto"/>
                <w:szCs w:val="22"/>
                <w:highlight w:val="none"/>
                <w:lang w:val="en-US" w:eastAsia="zh-CN"/>
              </w:rPr>
              <w:t>，对</w:t>
            </w:r>
            <w:r>
              <w:rPr>
                <w:rFonts w:hint="eastAsia" w:cs="Times New Roman"/>
                <w:color w:val="auto"/>
                <w:szCs w:val="22"/>
                <w:highlight w:val="none"/>
                <w:lang w:val="en-US" w:eastAsia="zh-CN"/>
              </w:rPr>
              <w:t>车间和办公区的灭火器和消防栓</w:t>
            </w:r>
            <w:r>
              <w:rPr>
                <w:rFonts w:hint="default" w:ascii="Times New Roman" w:hAnsi="Times New Roman" w:cs="Times New Roman"/>
                <w:color w:val="auto"/>
                <w:szCs w:val="22"/>
                <w:highlight w:val="none"/>
                <w:lang w:val="en-US" w:eastAsia="zh-CN"/>
              </w:rPr>
              <w:t>等进行了</w:t>
            </w:r>
            <w:r>
              <w:rPr>
                <w:rFonts w:hint="eastAsia" w:cs="Times New Roman"/>
                <w:color w:val="auto"/>
                <w:szCs w:val="22"/>
                <w:highlight w:val="none"/>
                <w:lang w:val="en-US" w:eastAsia="zh-CN"/>
              </w:rPr>
              <w:t>季度</w:t>
            </w:r>
            <w:r>
              <w:rPr>
                <w:rFonts w:hint="default" w:ascii="Times New Roman" w:hAnsi="Times New Roman" w:cs="Times New Roman"/>
                <w:color w:val="auto"/>
                <w:szCs w:val="22"/>
                <w:highlight w:val="none"/>
                <w:lang w:val="en-US" w:eastAsia="zh-CN"/>
              </w:rPr>
              <w:t>检查，结果均正常；检查人签字；</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公司对员工进行了身体健康体检，抽见体检报告，</w:t>
            </w:r>
            <w:r>
              <w:rPr>
                <w:rFonts w:hint="eastAsia" w:cs="Times New Roman"/>
                <w:color w:val="auto"/>
                <w:szCs w:val="22"/>
                <w:highlight w:val="none"/>
                <w:lang w:val="en-US" w:eastAsia="zh-CN"/>
              </w:rPr>
              <w:t>赵万坤</w:t>
            </w:r>
            <w:r>
              <w:rPr>
                <w:rFonts w:hint="default" w:ascii="Times New Roman" w:hAnsi="Times New Roman" w:cs="Times New Roman"/>
                <w:color w:val="auto"/>
                <w:szCs w:val="22"/>
                <w:highlight w:val="none"/>
                <w:lang w:val="en-US" w:eastAsia="zh-CN"/>
              </w:rPr>
              <w:t>、</w:t>
            </w:r>
            <w:r>
              <w:rPr>
                <w:rFonts w:hint="eastAsia" w:cs="Times New Roman"/>
                <w:color w:val="auto"/>
                <w:szCs w:val="22"/>
                <w:highlight w:val="none"/>
                <w:lang w:val="en-US" w:eastAsia="zh-CN"/>
              </w:rPr>
              <w:t>李朝霞、毛水林、宋心恒</w:t>
            </w:r>
            <w:r>
              <w:rPr>
                <w:rFonts w:hint="default" w:ascii="Times New Roman" w:hAnsi="Times New Roman" w:cs="Times New Roman"/>
                <w:color w:val="auto"/>
                <w:szCs w:val="22"/>
                <w:highlight w:val="none"/>
                <w:lang w:val="en-US" w:eastAsia="zh-CN"/>
              </w:rPr>
              <w:t>等人，结果均正常</w:t>
            </w:r>
            <w:r>
              <w:rPr>
                <w:rFonts w:hint="eastAsia" w:cs="Times New Roman"/>
                <w:color w:val="auto"/>
                <w:szCs w:val="22"/>
                <w:highlight w:val="none"/>
                <w:lang w:val="en-US" w:eastAsia="zh-CN"/>
              </w:rPr>
              <w:t>，柴桑区中医医院出具，2021.12.18</w:t>
            </w:r>
            <w:r>
              <w:rPr>
                <w:rFonts w:hint="default" w:ascii="Times New Roman" w:hAnsi="Times New Roman" w:cs="Times New Roman"/>
                <w:color w:val="auto"/>
                <w:szCs w:val="2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提供2021年10月25日、2022年3月30日由江西九环检测有限公司对公司三废的检测报告，结论：合格。</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未有上级主管部门的监督检查。</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cs="Times New Roman"/>
                <w:color w:val="auto"/>
                <w:szCs w:val="22"/>
                <w:highlight w:val="none"/>
                <w:lang w:val="en-US" w:eastAsia="zh-CN"/>
              </w:rPr>
              <w:t>公司经营能遵守相关的法律法规，没有违反环境、职业健康安全法律法规现象，近期没有发生环境与职业健康安全的事故。</w:t>
            </w:r>
          </w:p>
        </w:tc>
        <w:tc>
          <w:tcPr>
            <w:tcW w:w="1010"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0000FF"/>
                <w:kern w:val="2"/>
                <w:sz w:val="21"/>
                <w:lang w:val="en-US" w:eastAsia="zh-CN" w:bidi="ar-SA"/>
              </w:rPr>
            </w:pPr>
            <w:r>
              <w:rPr>
                <w:rFonts w:hint="default" w:ascii="Times New Roman" w:hAnsi="Times New Roman" w:cs="Times New Roman"/>
                <w:color w:val="auto"/>
              </w:rPr>
              <w:t>内部审核</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kern w:val="2"/>
                <w:sz w:val="21"/>
                <w:lang w:val="en-US" w:eastAsia="zh-CN" w:bidi="ar-SA"/>
              </w:rPr>
            </w:pPr>
            <w:r>
              <w:rPr>
                <w:rFonts w:hint="default" w:ascii="Times New Roman" w:hAnsi="Times New Roman" w:cs="Times New Roman"/>
                <w:color w:val="auto"/>
                <w:spacing w:val="-6"/>
                <w:kern w:val="2"/>
                <w:sz w:val="21"/>
                <w:szCs w:val="21"/>
                <w:lang w:val="en-US" w:eastAsia="zh-CN" w:bidi="ar-SA"/>
              </w:rPr>
              <w:t>Q</w:t>
            </w:r>
            <w:r>
              <w:rPr>
                <w:rFonts w:hint="default" w:ascii="Times New Roman" w:hAnsi="Times New Roman" w:eastAsia="宋体" w:cs="Times New Roman"/>
                <w:color w:val="auto"/>
                <w:spacing w:val="-6"/>
                <w:kern w:val="2"/>
                <w:sz w:val="21"/>
                <w:szCs w:val="21"/>
                <w:lang w:val="en-US" w:eastAsia="zh-CN" w:bidi="ar-SA"/>
              </w:rPr>
              <w:t>EO:9.2</w:t>
            </w:r>
          </w:p>
        </w:tc>
        <w:tc>
          <w:tcPr>
            <w:tcW w:w="10579" w:type="dxa"/>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制定有《内部审核程序》，有效文件；</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highlight w:val="none"/>
                <w:lang w:val="en-US" w:eastAsia="zh-CN"/>
              </w:rPr>
            </w:pPr>
            <w:r>
              <w:rPr>
                <w:rFonts w:hint="eastAsia"/>
                <w:highlight w:val="none"/>
                <w:lang w:val="en-US" w:eastAsia="zh-CN"/>
              </w:rPr>
              <w:t>2022年5月10日，对各部门进行了内审，保留了内审计划、内审记录、不符合报告、内审报告；内审覆盖了管理体系范围内的活动及标准的要求；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highlight w:val="none"/>
                <w:lang w:val="en-US" w:eastAsia="zh-CN"/>
              </w:rPr>
            </w:pPr>
            <w:r>
              <w:rPr>
                <w:rFonts w:hint="eastAsia"/>
                <w:highlight w:val="none"/>
                <w:lang w:val="en-US" w:eastAsia="zh-CN"/>
              </w:rPr>
              <w:t>本次内审开具不符合报告1份，已整改，有整改验收记录；</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kern w:val="2"/>
                <w:sz w:val="21"/>
                <w:szCs w:val="22"/>
                <w:highlight w:val="none"/>
                <w:lang w:val="en-US" w:eastAsia="zh-CN" w:bidi="ar-SA"/>
              </w:rPr>
            </w:pPr>
            <w:r>
              <w:rPr>
                <w:rFonts w:hint="eastAsia"/>
                <w:highlight w:val="none"/>
                <w:lang w:val="en-US" w:eastAsia="zh-CN"/>
              </w:rPr>
              <w:t>内审结论为：三体系运行基本良好，运行达到一定的效果，基本符合ISO9001:2015；ISO14001:2015；ISO45001:2018标准的要求，但仍存在不足，各部门应举一反三，对类似问题予以整改。</w:t>
            </w:r>
          </w:p>
        </w:tc>
        <w:tc>
          <w:tcPr>
            <w:tcW w:w="1010"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不合格和纠正措施</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cs="Times New Roman"/>
                <w:color w:val="auto"/>
                <w:spacing w:val="-6"/>
                <w:kern w:val="2"/>
                <w:sz w:val="21"/>
                <w:szCs w:val="21"/>
                <w:lang w:val="en-US" w:eastAsia="zh-CN" w:bidi="ar-SA"/>
              </w:rPr>
              <w:t>Q</w:t>
            </w:r>
            <w:r>
              <w:rPr>
                <w:rFonts w:hint="default" w:ascii="Times New Roman" w:hAnsi="Times New Roman" w:eastAsia="宋体" w:cs="Times New Roman"/>
                <w:color w:val="auto"/>
                <w:spacing w:val="-6"/>
                <w:kern w:val="2"/>
                <w:sz w:val="21"/>
                <w:szCs w:val="21"/>
                <w:lang w:val="en-US" w:eastAsia="zh-CN" w:bidi="ar-SA"/>
              </w:rPr>
              <w:t>EO:</w:t>
            </w:r>
            <w:r>
              <w:rPr>
                <w:rFonts w:hint="default" w:ascii="Times New Roman" w:hAnsi="Times New Roman" w:cs="Times New Roman"/>
                <w:color w:val="auto"/>
                <w:spacing w:val="-6"/>
                <w:sz w:val="21"/>
                <w:szCs w:val="21"/>
                <w:lang w:val="en-US" w:eastAsia="zh-CN"/>
              </w:rPr>
              <w:t>10.2</w:t>
            </w:r>
          </w:p>
        </w:tc>
        <w:tc>
          <w:tcPr>
            <w:tcW w:w="10579" w:type="dxa"/>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公司建立“不符合、纠正和预防措施控制程序”、“事故调查处理控制程序”，有效文件，无变化。对纠正预防措施识别、评审、验证，事故事件报告、调查、处理等进行了策划。</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对日常检查和内审、管理评审中提出的不合格项进行了原因分析，并策划纠正措施并实施，对所采取的纠正措施进行验证。</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体系运行以来公司按照体系的要求，通过运行控制、加强培训，以及开展管理评审活动等方式采取预防措施，防止不符合/不合格的发生，不符合得到了有效控制。</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公司成立以来没有发生重大质量事故和投诉处罚，没有发生环境、职业健康安全事件和投诉处罚。</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cs="Times New Roman"/>
                <w:color w:val="auto"/>
                <w:szCs w:val="22"/>
                <w:highlight w:val="none"/>
                <w:lang w:val="en-US" w:eastAsia="zh-CN"/>
              </w:rPr>
              <w:t>基本符合标准规定要求。</w:t>
            </w:r>
          </w:p>
        </w:tc>
        <w:tc>
          <w:tcPr>
            <w:tcW w:w="1010"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eastAsia" w:cs="Times New Roman"/>
                <w:color w:val="auto"/>
                <w:lang w:val="en-US" w:eastAsia="zh-CN"/>
              </w:rPr>
              <w:t>Y</w:t>
            </w:r>
          </w:p>
        </w:tc>
      </w:tr>
    </w:tbl>
    <w:p/>
    <w:p>
      <w:pPr>
        <w:pStyle w:val="5"/>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-59055</wp:posOffset>
          </wp:positionH>
          <wp:positionV relativeFrom="paragraph">
            <wp:posOffset>-96520</wp:posOffset>
          </wp:positionV>
          <wp:extent cx="482600" cy="485775"/>
          <wp:effectExtent l="0" t="0" r="12700" b="9525"/>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4699635</wp:posOffset>
              </wp:positionH>
              <wp:positionV relativeFrom="paragraph">
                <wp:posOffset>48895</wp:posOffset>
              </wp:positionV>
              <wp:extent cx="1487170" cy="256540"/>
              <wp:effectExtent l="0" t="0" r="17780" b="10160"/>
              <wp:wrapNone/>
              <wp:docPr id="1" name="文本框 1"/>
              <wp:cNvGraphicFramePr/>
              <a:graphic xmlns:a="http://schemas.openxmlformats.org/drawingml/2006/main">
                <a:graphicData uri="http://schemas.microsoft.com/office/word/2010/wordprocessingShape">
                  <wps:wsp>
                    <wps:cNvSpPr txBox="1"/>
                    <wps:spPr>
                      <a:xfrm>
                        <a:off x="0" y="0"/>
                        <a:ext cx="148717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-I-05 (05版)</w:t>
                          </w:r>
                        </w:p>
                      </w:txbxContent>
                    </wps:txbx>
                    <wps:bodyPr upright="1"/>
                  </wps:wsp>
                </a:graphicData>
              </a:graphic>
            </wp:anchor>
          </w:drawing>
        </mc:Choice>
        <mc:Fallback>
          <w:pict>
            <v:shape id="_x0000_s1026" o:spid="_x0000_s1026" o:spt="202" type="#_x0000_t202" style="position:absolute;left:0pt;margin-left:370.05pt;margin-top:3.85pt;height:20.2pt;width:117.1pt;z-index:251659264;mso-width-relative:page;mso-height-relative:page;" fillcolor="#FFFFFF" filled="t" stroked="f" coordsize="21600,21600" o:gfxdata="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c0mvm1gAAAAgBAAAPAAAAAAAAAAEAIAAAACIAAABkcnMvZG93bnJldi54bWxQ&#10;SwECFAAUAAAACACHTuJAyBb0NcABAAB3AwAADgAAAAAAAAABACAAAAAlAQAAZHJzL2Uyb0RvYy54&#10;bWxQSwUGAAAAAAYABgBZAQAAVw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-I-05 (05版)</w:t>
                    </w:r>
                  </w:p>
                </w:txbxContent>
              </v:textbox>
            </v:shape>
          </w:pict>
        </mc:Fallback>
      </mc:AlternateConten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RmZWE1ODkyMzI3NzUzMjUzZWZjMTFlMDk4OTYifQ=="/>
  </w:docVars>
  <w:rsids>
    <w:rsidRoot w:val="00000000"/>
    <w:rsid w:val="0E8F2153"/>
    <w:rsid w:val="104F30B1"/>
    <w:rsid w:val="11833F76"/>
    <w:rsid w:val="15B879F6"/>
    <w:rsid w:val="1F4B30D6"/>
    <w:rsid w:val="262E6969"/>
    <w:rsid w:val="28830F74"/>
    <w:rsid w:val="37AA3F6E"/>
    <w:rsid w:val="6BBE328E"/>
    <w:rsid w:val="71CC749D"/>
    <w:rsid w:val="7B3368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表格文字"/>
    <w:basedOn w:val="1"/>
    <w:qFormat/>
    <w:uiPriority w:val="0"/>
    <w:pPr>
      <w:spacing w:before="25" w:after="25"/>
    </w:pPr>
    <w:rPr>
      <w:bCs/>
      <w:spacing w:val="10"/>
    </w:rPr>
  </w:style>
  <w:style w:type="character" w:customStyle="1" w:styleId="10">
    <w:name w:val="页眉 字符"/>
    <w:basedOn w:val="8"/>
    <w:link w:val="6"/>
    <w:qFormat/>
    <w:uiPriority w:val="99"/>
    <w:rPr>
      <w:rFonts w:ascii="Times New Roman" w:hAnsi="Times New Roman" w:eastAsia="宋体" w:cs="Times New Roman"/>
      <w:sz w:val="18"/>
      <w:szCs w:val="18"/>
    </w:rPr>
  </w:style>
  <w:style w:type="character" w:customStyle="1" w:styleId="11">
    <w:name w:val="页脚 字符"/>
    <w:basedOn w:val="8"/>
    <w:link w:val="5"/>
    <w:qFormat/>
    <w:uiPriority w:val="99"/>
    <w:rPr>
      <w:rFonts w:ascii="Times New Roman" w:hAnsi="Times New Roman" w:eastAsia="宋体" w:cs="Times New Roman"/>
      <w:sz w:val="18"/>
      <w:szCs w:val="18"/>
    </w:rPr>
  </w:style>
  <w:style w:type="character" w:customStyle="1" w:styleId="12">
    <w:name w:val="批注框文本 字符"/>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5484</Words>
  <Characters>5980</Characters>
  <Lines>1</Lines>
  <Paragraphs>1</Paragraphs>
  <TotalTime>10</TotalTime>
  <ScaleCrop>false</ScaleCrop>
  <LinksUpToDate>false</LinksUpToDate>
  <CharactersWithSpaces>6012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2022-07-08T01:53:52Z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2052-11.1.0.11830</vt:lpwstr>
  </property>
</Properties>
</file>