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Cs/>
          <w:color w:val="000000"/>
          <w:sz w:val="32"/>
          <w:szCs w:val="32"/>
        </w:rPr>
      </w:pPr>
      <w:r>
        <w:rPr>
          <w:rFonts w:hint="eastAsia" w:ascii="楷体" w:hAnsi="楷体" w:eastAsia="楷体"/>
          <w:bCs/>
          <w:color w:val="000000"/>
          <w:sz w:val="32"/>
          <w:szCs w:val="32"/>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2"/>
        <w:gridCol w:w="1228"/>
        <w:gridCol w:w="10943"/>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92" w:type="dxa"/>
            <w:vMerge w:val="restart"/>
            <w:vAlign w:val="center"/>
          </w:tcPr>
          <w:p>
            <w:pPr>
              <w:spacing w:before="120" w:line="360" w:lineRule="auto"/>
              <w:jc w:val="cente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过程与活动、</w:t>
            </w:r>
          </w:p>
          <w:p>
            <w:pPr>
              <w:spacing w:line="360" w:lineRule="auto"/>
              <w:jc w:val="cente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抽样计划</w:t>
            </w:r>
          </w:p>
        </w:tc>
        <w:tc>
          <w:tcPr>
            <w:tcW w:w="1228" w:type="dxa"/>
            <w:vMerge w:val="restart"/>
            <w:vAlign w:val="center"/>
          </w:tcPr>
          <w:p>
            <w:p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涉及</w:t>
            </w:r>
          </w:p>
          <w:p>
            <w:p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条款</w:t>
            </w:r>
          </w:p>
        </w:tc>
        <w:tc>
          <w:tcPr>
            <w:tcW w:w="10943" w:type="dxa"/>
            <w:vAlign w:val="center"/>
          </w:tcPr>
          <w:p>
            <w:pPr>
              <w:spacing w:line="360" w:lineRule="auto"/>
              <w:rPr>
                <w:rFonts w:hint="eastAsia" w:ascii="仿宋" w:hAnsi="仿宋" w:eastAsia="仿宋" w:cs="仿宋"/>
                <w:bCs/>
                <w:color w:val="000000" w:themeColor="text1"/>
                <w:sz w:val="24"/>
                <w:szCs w:val="24"/>
              </w:rPr>
            </w:pPr>
            <w:r>
              <w:rPr>
                <w:rFonts w:hint="eastAsia" w:ascii="仿宋" w:hAnsi="仿宋" w:eastAsia="仿宋" w:cs="仿宋"/>
                <w:color w:val="000000" w:themeColor="text1"/>
                <w:sz w:val="24"/>
                <w:szCs w:val="24"/>
              </w:rPr>
              <w:t>受审核部门：管理层    总经理：王梦思      管理者代表：尹振江</w:t>
            </w:r>
            <w:r>
              <w:rPr>
                <w:rFonts w:hint="eastAsia" w:ascii="仿宋" w:hAnsi="仿宋" w:eastAsia="仿宋" w:cs="仿宋"/>
                <w:bCs/>
                <w:color w:val="000000" w:themeColor="text1"/>
                <w:sz w:val="24"/>
                <w:szCs w:val="24"/>
              </w:rPr>
              <w:t xml:space="preserve">      </w:t>
            </w:r>
          </w:p>
          <w:p>
            <w:pPr>
              <w:spacing w:line="360" w:lineRule="auto"/>
              <w:rPr>
                <w:rFonts w:hint="eastAsia" w:ascii="仿宋" w:hAnsi="仿宋" w:eastAsia="仿宋" w:cs="仿宋"/>
                <w:color w:val="000000" w:themeColor="text1"/>
                <w:sz w:val="24"/>
                <w:szCs w:val="24"/>
              </w:rPr>
            </w:pPr>
            <w:r>
              <w:rPr>
                <w:rFonts w:hint="eastAsia" w:ascii="仿宋" w:hAnsi="仿宋" w:eastAsia="仿宋" w:cs="仿宋"/>
                <w:bCs/>
                <w:color w:val="000000" w:themeColor="text1"/>
                <w:sz w:val="24"/>
                <w:szCs w:val="24"/>
              </w:rPr>
              <w:t>职业健康安全事务代表：</w:t>
            </w:r>
            <w:r>
              <w:rPr>
                <w:rFonts w:hint="eastAsia" w:ascii="仿宋" w:hAnsi="仿宋" w:eastAsia="仿宋" w:cs="仿宋"/>
                <w:color w:val="000000" w:themeColor="text1"/>
                <w:sz w:val="24"/>
                <w:szCs w:val="24"/>
              </w:rPr>
              <w:t>尹忠广</w:t>
            </w:r>
            <w:r>
              <w:rPr>
                <w:rFonts w:hint="eastAsia" w:ascii="仿宋" w:hAnsi="仿宋" w:eastAsia="仿宋" w:cs="仿宋"/>
                <w:bCs/>
                <w:color w:val="000000" w:themeColor="text1"/>
                <w:sz w:val="24"/>
                <w:szCs w:val="24"/>
              </w:rPr>
              <w:t xml:space="preserve"> </w:t>
            </w:r>
          </w:p>
        </w:tc>
        <w:tc>
          <w:tcPr>
            <w:tcW w:w="646" w:type="dxa"/>
            <w:vMerge w:val="restart"/>
            <w:vAlign w:val="center"/>
          </w:tcPr>
          <w:p>
            <w:p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92" w:type="dxa"/>
            <w:vMerge w:val="continue"/>
            <w:vAlign w:val="center"/>
          </w:tcPr>
          <w:p>
            <w:pPr>
              <w:spacing w:line="360" w:lineRule="auto"/>
              <w:rPr>
                <w:rFonts w:hint="eastAsia" w:ascii="仿宋" w:hAnsi="仿宋" w:eastAsia="仿宋" w:cs="仿宋"/>
                <w:color w:val="000000" w:themeColor="text1"/>
                <w:sz w:val="24"/>
                <w:szCs w:val="24"/>
              </w:rPr>
            </w:pPr>
          </w:p>
        </w:tc>
        <w:tc>
          <w:tcPr>
            <w:tcW w:w="1228" w:type="dxa"/>
            <w:vMerge w:val="continue"/>
            <w:vAlign w:val="center"/>
          </w:tcPr>
          <w:p>
            <w:pPr>
              <w:spacing w:line="360" w:lineRule="auto"/>
              <w:rPr>
                <w:rFonts w:hint="eastAsia" w:ascii="仿宋" w:hAnsi="仿宋" w:eastAsia="仿宋" w:cs="仿宋"/>
                <w:color w:val="000000" w:themeColor="text1"/>
                <w:sz w:val="24"/>
                <w:szCs w:val="24"/>
              </w:rPr>
            </w:pPr>
          </w:p>
        </w:tc>
        <w:tc>
          <w:tcPr>
            <w:tcW w:w="10943" w:type="dxa"/>
            <w:vAlign w:val="center"/>
          </w:tcPr>
          <w:p>
            <w:pPr>
              <w:spacing w:line="360" w:lineRule="auto"/>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rPr>
              <w:t>审核员：</w:t>
            </w:r>
            <w:r>
              <w:rPr>
                <w:rFonts w:hint="eastAsia" w:ascii="仿宋" w:hAnsi="仿宋" w:eastAsia="仿宋" w:cs="仿宋"/>
                <w:color w:val="000000" w:themeColor="text1"/>
                <w:sz w:val="24"/>
                <w:szCs w:val="24"/>
                <w:lang w:val="en-US" w:eastAsia="zh-CN"/>
              </w:rPr>
              <w:t>强兴</w:t>
            </w:r>
            <w:r>
              <w:rPr>
                <w:rFonts w:hint="eastAsia" w:ascii="仿宋" w:hAnsi="仿宋" w:eastAsia="仿宋" w:cs="仿宋"/>
                <w:color w:val="000000" w:themeColor="text1"/>
                <w:sz w:val="24"/>
                <w:szCs w:val="24"/>
              </w:rPr>
              <w:t xml:space="preserve">          审核时间： 202</w:t>
            </w:r>
            <w:r>
              <w:rPr>
                <w:rFonts w:hint="eastAsia" w:ascii="仿宋" w:hAnsi="仿宋" w:eastAsia="仿宋" w:cs="仿宋"/>
                <w:color w:val="000000" w:themeColor="text1"/>
                <w:sz w:val="24"/>
                <w:szCs w:val="24"/>
                <w:lang w:val="en-US" w:eastAsia="zh-CN"/>
              </w:rPr>
              <w:t>2.7.1</w:t>
            </w:r>
          </w:p>
        </w:tc>
        <w:tc>
          <w:tcPr>
            <w:tcW w:w="646" w:type="dxa"/>
            <w:vMerge w:val="continue"/>
          </w:tcPr>
          <w:p>
            <w:pPr>
              <w:spacing w:line="360" w:lineRule="auto"/>
              <w:rPr>
                <w:rFonts w:hint="eastAsia" w:ascii="仿宋" w:hAnsi="仿宋" w:eastAsia="仿宋" w:cs="仿宋"/>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Merge w:val="continue"/>
            <w:vAlign w:val="center"/>
          </w:tcPr>
          <w:p>
            <w:pPr>
              <w:spacing w:line="360" w:lineRule="auto"/>
              <w:rPr>
                <w:rFonts w:hint="eastAsia" w:ascii="仿宋" w:hAnsi="仿宋" w:eastAsia="仿宋" w:cs="仿宋"/>
                <w:color w:val="000000" w:themeColor="text1"/>
                <w:sz w:val="24"/>
                <w:szCs w:val="24"/>
              </w:rPr>
            </w:pPr>
          </w:p>
        </w:tc>
        <w:tc>
          <w:tcPr>
            <w:tcW w:w="1228" w:type="dxa"/>
            <w:vMerge w:val="continue"/>
            <w:vAlign w:val="center"/>
          </w:tcPr>
          <w:p>
            <w:pPr>
              <w:spacing w:line="360" w:lineRule="auto"/>
              <w:rPr>
                <w:rFonts w:hint="eastAsia" w:ascii="仿宋" w:hAnsi="仿宋" w:eastAsia="仿宋" w:cs="仿宋"/>
                <w:color w:val="000000" w:themeColor="text1"/>
                <w:sz w:val="24"/>
                <w:szCs w:val="24"/>
              </w:rPr>
            </w:pPr>
          </w:p>
        </w:tc>
        <w:tc>
          <w:tcPr>
            <w:tcW w:w="10943" w:type="dxa"/>
            <w:vAlign w:val="center"/>
          </w:tcPr>
          <w:p>
            <w:pPr>
              <w:snapToGrid w:val="0"/>
              <w:rPr>
                <w:rFonts w:hint="eastAsia" w:ascii="仿宋" w:hAnsi="仿宋" w:eastAsia="仿宋" w:cs="仿宋"/>
                <w:sz w:val="24"/>
                <w:szCs w:val="24"/>
              </w:rPr>
            </w:pPr>
            <w:r>
              <w:rPr>
                <w:rFonts w:hint="eastAsia" w:ascii="仿宋" w:hAnsi="仿宋" w:eastAsia="仿宋" w:cs="仿宋"/>
                <w:sz w:val="24"/>
                <w:szCs w:val="24"/>
              </w:rPr>
              <w:t>审核条款：</w:t>
            </w:r>
          </w:p>
          <w:p>
            <w:pPr>
              <w:rPr>
                <w:rFonts w:hint="eastAsia" w:ascii="仿宋" w:hAnsi="仿宋" w:eastAsia="仿宋" w:cs="仿宋"/>
                <w:sz w:val="24"/>
                <w:szCs w:val="24"/>
              </w:rPr>
            </w:pPr>
            <w:r>
              <w:rPr>
                <w:rFonts w:hint="eastAsia" w:ascii="仿宋" w:hAnsi="仿宋" w:eastAsia="仿宋" w:cs="仿宋"/>
                <w:sz w:val="24"/>
                <w:szCs w:val="24"/>
              </w:rPr>
              <w:t>E/OHSMS:4.1理解组织及其环境、4.2理解相关方的需求和期望、4.3 确定管理体系的范围、4.4环境/职业健康安全管理体系及其过程、5.1领导作用和承诺、5.2环境/职业健康安全方针、5.3组织的岗位、职责和权限、OHSMS：5.4协商与参与、6.1.1策划总则</w:t>
            </w:r>
            <w:r>
              <w:rPr>
                <w:rFonts w:hint="eastAsia" w:ascii="仿宋" w:hAnsi="仿宋" w:eastAsia="仿宋" w:cs="仿宋"/>
                <w:sz w:val="24"/>
                <w:szCs w:val="24"/>
              </w:rPr>
              <w:t>、6.1.4措施的策划、6.2环境/职业健康安全目标及其实现的策划、7.1资源、9.3管理评审、10.1改进、10.3持续改进，</w:t>
            </w:r>
          </w:p>
          <w:p>
            <w:pP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标准/规范/法规的执行情况、上次审核不符合项的验证、认证证书、标志的使用情况、投诉或事故、监督抽查情况、体系变动</w:t>
            </w:r>
          </w:p>
        </w:tc>
        <w:tc>
          <w:tcPr>
            <w:tcW w:w="646" w:type="dxa"/>
            <w:vMerge w:val="continue"/>
          </w:tcPr>
          <w:p>
            <w:pPr>
              <w:spacing w:line="360" w:lineRule="auto"/>
              <w:rPr>
                <w:rFonts w:hint="eastAsia" w:ascii="仿宋" w:hAnsi="仿宋" w:eastAsia="仿宋" w:cs="仿宋"/>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理解组织及其环境</w:t>
            </w:r>
          </w:p>
          <w:p>
            <w:pPr>
              <w:spacing w:line="360" w:lineRule="auto"/>
              <w:rPr>
                <w:rFonts w:hint="eastAsia" w:ascii="仿宋" w:hAnsi="仿宋" w:eastAsia="仿宋" w:cs="仿宋"/>
                <w:color w:val="000000" w:themeColor="text1"/>
                <w:sz w:val="24"/>
                <w:szCs w:val="24"/>
              </w:rPr>
            </w:pPr>
          </w:p>
        </w:tc>
        <w:tc>
          <w:tcPr>
            <w:tcW w:w="1228" w:type="dxa"/>
            <w:vAlign w:val="center"/>
          </w:tcPr>
          <w:p>
            <w:p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EO：4.1</w:t>
            </w:r>
          </w:p>
          <w:p>
            <w:pPr>
              <w:spacing w:line="360" w:lineRule="auto"/>
              <w:rPr>
                <w:rFonts w:hint="eastAsia" w:ascii="仿宋" w:hAnsi="仿宋" w:eastAsia="仿宋" w:cs="仿宋"/>
                <w:color w:val="000000" w:themeColor="text1"/>
                <w:sz w:val="24"/>
                <w:szCs w:val="24"/>
              </w:rPr>
            </w:pPr>
          </w:p>
        </w:tc>
        <w:tc>
          <w:tcPr>
            <w:tcW w:w="10943" w:type="dxa"/>
            <w:vAlign w:val="center"/>
          </w:tcPr>
          <w:p>
            <w:pPr>
              <w:spacing w:line="360" w:lineRule="auto"/>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提供《质量/环境/职业健康安全/管理手册》，对公司地理位置、国内市场地位、法律法规要求、公司内部文化观价值观、内外部环境变化等均作出描述。</w:t>
            </w:r>
          </w:p>
          <w:p>
            <w:pPr>
              <w:spacing w:line="360" w:lineRule="auto"/>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与总经理王梦思沟通，简单介绍了企业的经营状况、采购销售产品情况和顾客分布，介绍了公司文化的形成与发展、长短期发展目标、价值观的沟通，并对的公司内部环境和外部环境进行了分析。公司介绍，销售的产品在行业内有一定的市场地位。</w:t>
            </w:r>
          </w:p>
          <w:p>
            <w:pPr>
              <w:spacing w:line="360" w:lineRule="auto"/>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根据企业目标和战略方向，通过各部门收集信息、识别、分析和评价，公司管理会议讨论研究，明确了与公司目标和战略方向相关的各种外部和内部因素，提供了《组织的内外重要环境因素分析表》，从内外因素的相关内容，确定了监视、评审方法、负责部门、监视频率等。如内部因素：从人力因素、财务因素、质量控制因素、市场营销能力、固体废弃物处理、火灾隐患等方面，外部因素从经济因素、政治因素、技术因素、竞争力、市场需求、影响工作环境的因素、自然地理环境、社会环境等方面对公司的影响。确定了监视评审方法：关注社会需求和行业变化、网上收集、与相关方沟通、定期统计和关注政府部门获取。</w:t>
            </w:r>
          </w:p>
        </w:tc>
        <w:tc>
          <w:tcPr>
            <w:tcW w:w="646" w:type="dxa"/>
          </w:tcPr>
          <w:p>
            <w:pPr>
              <w:spacing w:line="360" w:lineRule="auto"/>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理解相关方的需求和期望</w:t>
            </w:r>
          </w:p>
        </w:tc>
        <w:tc>
          <w:tcPr>
            <w:tcW w:w="1228" w:type="dxa"/>
            <w:vAlign w:val="center"/>
          </w:tcPr>
          <w:p>
            <w:p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EO：4.2</w:t>
            </w:r>
          </w:p>
        </w:tc>
        <w:tc>
          <w:tcPr>
            <w:tcW w:w="10943" w:type="dxa"/>
            <w:vAlign w:val="center"/>
          </w:tcPr>
          <w:p>
            <w:p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提供了《组织的相关方需求和期望调查表》，相关方包括顾客、供方、员工、政府部门、审核机构、股东等。相关方需求和期望：产品质量符合顾客要求、及时交货、价格合理；合作双赢、进料合格率、及时付款； 薪资、福利增加、培训机会、有发展的空间；安全生产、环保；公司体系运作的有效性、充分性和符合性；公司战略、绩效等；检测指标或项目：顾客满意度、客户投诉率、交期变更率；供方评价表、采购产品合格率；工资、晋升制度；基本识别了与组织管理体系有关的相关方和要求</w:t>
            </w:r>
            <w:r>
              <w:rPr>
                <w:rFonts w:hint="eastAsia" w:ascii="仿宋" w:hAnsi="仿宋" w:eastAsia="仿宋" w:cs="仿宋"/>
                <w:color w:val="000000" w:themeColor="text1"/>
                <w:sz w:val="24"/>
                <w:szCs w:val="24"/>
                <w:lang w:val="zh-CN"/>
              </w:rPr>
              <w:t>。</w:t>
            </w:r>
            <w:r>
              <w:rPr>
                <w:rFonts w:hint="eastAsia" w:ascii="仿宋" w:hAnsi="仿宋" w:eastAsia="仿宋" w:cs="仿宋"/>
                <w:color w:val="000000" w:themeColor="text1"/>
                <w:sz w:val="24"/>
                <w:szCs w:val="24"/>
              </w:rPr>
              <w:t>公司对这些相关方及其要求的相关信息进行制定责任部门制定每年进行一次评审，以便于理解和持续满足相关方的需求和期望。</w:t>
            </w:r>
          </w:p>
        </w:tc>
        <w:tc>
          <w:tcPr>
            <w:tcW w:w="646" w:type="dxa"/>
          </w:tcPr>
          <w:p>
            <w:p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环境/职业健康安全管理体系的范围</w:t>
            </w:r>
          </w:p>
        </w:tc>
        <w:tc>
          <w:tcPr>
            <w:tcW w:w="1228" w:type="dxa"/>
            <w:vAlign w:val="center"/>
          </w:tcPr>
          <w:p>
            <w:p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EO：4.3</w:t>
            </w:r>
          </w:p>
        </w:tc>
        <w:tc>
          <w:tcPr>
            <w:tcW w:w="10943" w:type="dxa"/>
            <w:vAlign w:val="center"/>
          </w:tcPr>
          <w:p>
            <w:pPr>
              <w:spacing w:line="360" w:lineRule="auto"/>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经确认企业的管理体系范围是：</w:t>
            </w:r>
          </w:p>
          <w:p>
            <w:pPr>
              <w:rPr>
                <w:rFonts w:hint="eastAsia" w:ascii="仿宋" w:hAnsi="仿宋" w:eastAsia="仿宋" w:cs="仿宋"/>
                <w:sz w:val="24"/>
                <w:szCs w:val="24"/>
              </w:rPr>
            </w:pPr>
            <w:r>
              <w:rPr>
                <w:rFonts w:hint="eastAsia" w:ascii="仿宋" w:hAnsi="仿宋" w:eastAsia="仿宋" w:cs="仿宋"/>
                <w:sz w:val="24"/>
                <w:szCs w:val="24"/>
              </w:rPr>
              <w:t>E：管件、保温管道及管件、钢管、法兰的销售及所涉及场所的相关环境管理活动；</w:t>
            </w:r>
          </w:p>
          <w:p>
            <w:pPr>
              <w:spacing w:line="360" w:lineRule="auto"/>
              <w:jc w:val="left"/>
              <w:rPr>
                <w:rFonts w:hint="eastAsia" w:ascii="仿宋" w:hAnsi="仿宋" w:eastAsia="仿宋" w:cs="仿宋"/>
                <w:color w:val="000000" w:themeColor="text1"/>
                <w:sz w:val="24"/>
                <w:szCs w:val="24"/>
              </w:rPr>
            </w:pPr>
            <w:r>
              <w:rPr>
                <w:rFonts w:hint="eastAsia" w:ascii="仿宋" w:hAnsi="仿宋" w:eastAsia="仿宋" w:cs="仿宋"/>
                <w:sz w:val="24"/>
                <w:szCs w:val="24"/>
              </w:rPr>
              <w:t>O：管件、保温管道及管件、钢管、法兰的销售及所涉及场所的相关职业健康安全管理活动。</w:t>
            </w:r>
          </w:p>
        </w:tc>
        <w:tc>
          <w:tcPr>
            <w:tcW w:w="646" w:type="dxa"/>
          </w:tcPr>
          <w:p>
            <w:p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环境/职业健康安全管理体系及其过程</w:t>
            </w:r>
          </w:p>
        </w:tc>
        <w:tc>
          <w:tcPr>
            <w:tcW w:w="1228" w:type="dxa"/>
            <w:vAlign w:val="center"/>
          </w:tcPr>
          <w:p>
            <w:p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EO：4.4</w:t>
            </w:r>
          </w:p>
        </w:tc>
        <w:tc>
          <w:tcPr>
            <w:tcW w:w="10943" w:type="dxa"/>
            <w:vAlign w:val="center"/>
          </w:tcPr>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公司在2020.1.10日按照标准建立了文件化的管理体系，编写了管理手册、程序文件、三级文件，文件中包括了EO方针、目标, 对各部门的职责权限作出了规定，公司管理体系已确定了过程、各过程的顺序、过程的评价、实施所需的变更等，并能规定过程及质量管理体系监视、测量、分析、改进的职责权限分配等策划，同时考虑了内外部因素和相关方的要求，确定了需应对的风险和机遇。</w:t>
            </w:r>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公司文件适宜，符合公司规模、人员能力、过程及其相互作用的复杂程度。基本符合标准要求。</w:t>
            </w:r>
          </w:p>
          <w:p>
            <w:p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公司确保按照标准的要求，建立、实施、保持和持续改进环境、职业健康安全管理体系，包括所需过程及其相互作用。公司确定环境、职业健康安全管理体系所需的过程及其在整个组织中的应用。</w:t>
            </w:r>
          </w:p>
        </w:tc>
        <w:tc>
          <w:tcPr>
            <w:tcW w:w="646" w:type="dxa"/>
          </w:tcPr>
          <w:p>
            <w:p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领导作用与承诺</w:t>
            </w:r>
          </w:p>
          <w:p>
            <w:pPr>
              <w:spacing w:line="360" w:lineRule="auto"/>
              <w:rPr>
                <w:rFonts w:hint="eastAsia" w:ascii="仿宋" w:hAnsi="仿宋" w:eastAsia="仿宋" w:cs="仿宋"/>
                <w:color w:val="000000" w:themeColor="text1"/>
                <w:sz w:val="24"/>
                <w:szCs w:val="24"/>
              </w:rPr>
            </w:pPr>
          </w:p>
        </w:tc>
        <w:tc>
          <w:tcPr>
            <w:tcW w:w="1228" w:type="dxa"/>
            <w:vAlign w:val="center"/>
          </w:tcPr>
          <w:p>
            <w:p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EO：5.1</w:t>
            </w:r>
          </w:p>
        </w:tc>
        <w:tc>
          <w:tcPr>
            <w:tcW w:w="10943" w:type="dxa"/>
            <w:vAlign w:val="center"/>
          </w:tcPr>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通过管理评审、内部审核及有效实施纠正、改进措施等方法来有效完善和持续发展公司的管理体系。公司总经理是王梦思，主要承诺有：主持管理体系的策划，制定并颁布本公司的管理方针、目标，并对实现管理方针、目标负责；确定各岗位、职能部门的职责和权限，向顾客、全体员工和相关方提供管理承诺，并提供资源；任命管理者代表；批准发布《管理手册》；定期组织管理评审，保证管理体系持续有效运行和持续改进，对产品质量、环境和职业健康安全绩效负全面领导责任；主持重大环境和职业健康安全事故的调查分析和处理；配备适当的人、财、物等资源，确保管理体系的持续有效运行。</w:t>
            </w:r>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公司管理者代表尹振江：确保本公司管理体系所需的过程得到建立、实施和保持，代表王梦思行使职权；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职业健康安全事务代表尹忠广，其职责和权限：参与职业健康安全管理体系的建立、实施和改进；代表员工对涉及员工职业健康安全的有关事宜与本公司领导、部门进行协商；参与职业健康安全监督管理和事故调查处理</w:t>
            </w:r>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管理承诺基本实现，没有违反的情况发生。</w:t>
            </w:r>
          </w:p>
        </w:tc>
        <w:tc>
          <w:tcPr>
            <w:tcW w:w="646" w:type="dxa"/>
          </w:tcPr>
          <w:p>
            <w:p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trPr>
        <w:tc>
          <w:tcPr>
            <w:tcW w:w="1892" w:type="dxa"/>
            <w:vAlign w:val="center"/>
          </w:tcPr>
          <w:p>
            <w:pPr>
              <w:spacing w:line="360" w:lineRule="auto"/>
              <w:jc w:val="cente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方针</w:t>
            </w:r>
          </w:p>
        </w:tc>
        <w:tc>
          <w:tcPr>
            <w:tcW w:w="1228" w:type="dxa"/>
            <w:vAlign w:val="center"/>
          </w:tcPr>
          <w:p>
            <w:p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EO：5.2</w:t>
            </w:r>
          </w:p>
        </w:tc>
        <w:tc>
          <w:tcPr>
            <w:tcW w:w="10943" w:type="dxa"/>
            <w:vAlign w:val="center"/>
          </w:tcPr>
          <w:p>
            <w:pPr>
              <w:spacing w:line="360" w:lineRule="auto"/>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企业的管理方针：</w:t>
            </w:r>
          </w:p>
          <w:p>
            <w:pPr>
              <w:spacing w:line="360" w:lineRule="auto"/>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 xml:space="preserve"> 安全第一，预防为主；遵规守法，减污降耗；持续发展。</w:t>
            </w:r>
          </w:p>
          <w:p>
            <w:pPr>
              <w:spacing w:line="360" w:lineRule="auto"/>
              <w:ind w:firstLine="480" w:firstLineChars="200"/>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公司以环境、职业健康安全标准为基础，结合公司实际特制定管理方针。与王梦思进行交谈，对方针内涵的理解较深刻。方针能为制定目标提供框架，方针基本符合标准的要求。</w:t>
            </w:r>
          </w:p>
          <w:p>
            <w:pPr>
              <w:spacing w:line="360" w:lineRule="auto"/>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总经理王梦思用会议、文件等手段保证管理方针为全体员工理解并落实到工作中。总经理王梦思说管理评审时对方针的持续适宜性进行了评审，有评审记录。</w:t>
            </w:r>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以上管理方针通过文件、培训等形式将公司管理方针传达给所有为公司工作或代表公司的人员，相关方也可通过办公室获取公司管理方针。</w:t>
            </w:r>
          </w:p>
        </w:tc>
        <w:tc>
          <w:tcPr>
            <w:tcW w:w="646" w:type="dxa"/>
          </w:tcPr>
          <w:p>
            <w:p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rPr>
                <w:rFonts w:hint="eastAsia" w:ascii="仿宋" w:hAnsi="仿宋" w:eastAsia="仿宋" w:cs="仿宋"/>
                <w:color w:val="000000" w:themeColor="text1"/>
                <w:sz w:val="24"/>
                <w:szCs w:val="24"/>
              </w:rPr>
            </w:pPr>
          </w:p>
          <w:p>
            <w:pPr>
              <w:spacing w:line="360" w:lineRule="auto"/>
              <w:rPr>
                <w:rFonts w:hint="eastAsia" w:ascii="仿宋" w:hAnsi="仿宋" w:eastAsia="仿宋" w:cs="仿宋"/>
                <w:color w:val="000000" w:themeColor="text1"/>
                <w:sz w:val="24"/>
                <w:szCs w:val="24"/>
              </w:rPr>
            </w:pPr>
          </w:p>
          <w:p>
            <w:p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组织的岗位、职责和权限</w:t>
            </w:r>
          </w:p>
          <w:p>
            <w:pPr>
              <w:spacing w:line="360" w:lineRule="auto"/>
              <w:jc w:val="center"/>
              <w:rPr>
                <w:rFonts w:hint="eastAsia" w:ascii="仿宋" w:hAnsi="仿宋" w:eastAsia="仿宋" w:cs="仿宋"/>
                <w:color w:val="000000" w:themeColor="text1"/>
                <w:sz w:val="24"/>
                <w:szCs w:val="24"/>
              </w:rPr>
            </w:pPr>
          </w:p>
        </w:tc>
        <w:tc>
          <w:tcPr>
            <w:tcW w:w="1228" w:type="dxa"/>
            <w:vAlign w:val="center"/>
          </w:tcPr>
          <w:p>
            <w:p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EO：5.3</w:t>
            </w:r>
          </w:p>
        </w:tc>
        <w:tc>
          <w:tcPr>
            <w:tcW w:w="10943" w:type="dxa"/>
            <w:vAlign w:val="center"/>
          </w:tcPr>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公司确定了公司机构并规定了各岗位人员职责、权限和相互关系，并在公司内对各级员工进行了必要的传达。对从事与销售有关的管理、执行和质检人员规定其职责、权限及其相互关系，以实现公司管理方针和管理目标。建立、实施和保持公司管理体系所需的过程，公司任命尹振江为管理体系的管理者代表。其职责和权限规定如下：</w:t>
            </w:r>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确保本公司管理体系所需的过程得到建立、实施和保持，代表总经理行使职权；</w:t>
            </w:r>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p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相关人员了解职责并可有效实施。</w:t>
            </w:r>
          </w:p>
        </w:tc>
        <w:tc>
          <w:tcPr>
            <w:tcW w:w="646" w:type="dxa"/>
          </w:tcPr>
          <w:p>
            <w:p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应对风险和机会的措施</w:t>
            </w:r>
          </w:p>
        </w:tc>
        <w:tc>
          <w:tcPr>
            <w:tcW w:w="1228" w:type="dxa"/>
            <w:vAlign w:val="center"/>
          </w:tcPr>
          <w:p>
            <w:pPr>
              <w:pStyle w:val="4"/>
              <w:rPr>
                <w:rFonts w:hint="eastAsia" w:ascii="仿宋" w:hAnsi="仿宋" w:eastAsia="仿宋" w:cs="仿宋"/>
                <w:color w:val="000000" w:themeColor="text1"/>
                <w:szCs w:val="24"/>
              </w:rPr>
            </w:pPr>
          </w:p>
          <w:p>
            <w:pPr>
              <w:spacing w:line="360" w:lineRule="auto"/>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EO： 6.1.1</w:t>
            </w:r>
          </w:p>
        </w:tc>
        <w:tc>
          <w:tcPr>
            <w:tcW w:w="10943" w:type="dxa"/>
            <w:vAlign w:val="center"/>
          </w:tcPr>
          <w:p>
            <w:pPr>
              <w:pStyle w:val="4"/>
              <w:ind w:firstLine="480" w:firstLineChars="200"/>
              <w:rPr>
                <w:rFonts w:hint="eastAsia" w:ascii="仿宋" w:hAnsi="仿宋" w:eastAsia="仿宋" w:cs="仿宋"/>
                <w:color w:val="000000" w:themeColor="text1"/>
                <w:szCs w:val="24"/>
              </w:rPr>
            </w:pPr>
            <w:r>
              <w:rPr>
                <w:rFonts w:hint="eastAsia" w:ascii="仿宋" w:hAnsi="仿宋" w:eastAsia="仿宋" w:cs="仿宋"/>
                <w:color w:val="000000" w:themeColor="text1"/>
                <w:szCs w:val="24"/>
              </w:rPr>
              <w:t>提供《RX/QES-CX-04-2020</w:t>
            </w:r>
            <w:r>
              <w:rPr>
                <w:rFonts w:hint="eastAsia" w:ascii="仿宋" w:hAnsi="仿宋" w:eastAsia="仿宋" w:cs="仿宋"/>
                <w:color w:val="000000" w:themeColor="text1"/>
                <w:szCs w:val="24"/>
              </w:rPr>
              <w:tab/>
            </w:r>
            <w:r>
              <w:rPr>
                <w:rFonts w:hint="eastAsia" w:ascii="仿宋" w:hAnsi="仿宋" w:eastAsia="仿宋" w:cs="仿宋"/>
                <w:color w:val="000000" w:themeColor="text1"/>
                <w:szCs w:val="24"/>
              </w:rPr>
              <w:t>风险和机遇控制程序》，对组织内外的风险和机遇进行了策划。提供“风险和机遇评估分析表”，识别了风险和机遇来源、风险和机遇内容、管理措施、责任部门、实时时间、评价措施等：</w:t>
            </w:r>
          </w:p>
          <w:p>
            <w:pPr>
              <w:pStyle w:val="4"/>
              <w:rPr>
                <w:rFonts w:hint="eastAsia" w:ascii="仿宋" w:hAnsi="仿宋" w:eastAsia="仿宋" w:cs="仿宋"/>
                <w:color w:val="000000" w:themeColor="text1"/>
                <w:szCs w:val="24"/>
              </w:rPr>
            </w:pPr>
            <w:r>
              <w:rPr>
                <w:rFonts w:hint="eastAsia" w:ascii="仿宋" w:hAnsi="仿宋" w:eastAsia="仿宋" w:cs="仿宋"/>
                <w:color w:val="000000" w:themeColor="text1"/>
                <w:szCs w:val="24"/>
              </w:rPr>
              <w:t>风险、机遇：从客户开发、合同评审、产品交付、领导作用、信息交流、采购管理、仓库管理等方面进行分析评估。从严重程度、发生概率、可探测性、RPN等确定风险和机遇。</w:t>
            </w:r>
          </w:p>
          <w:p>
            <w:pPr>
              <w:pStyle w:val="4"/>
              <w:ind w:firstLine="480" w:firstLineChars="200"/>
              <w:rPr>
                <w:rFonts w:hint="eastAsia" w:ascii="仿宋" w:hAnsi="仿宋" w:eastAsia="仿宋" w:cs="仿宋"/>
                <w:color w:val="000000" w:themeColor="text1"/>
                <w:szCs w:val="24"/>
              </w:rPr>
            </w:pPr>
            <w:r>
              <w:rPr>
                <w:rFonts w:hint="eastAsia" w:ascii="仿宋" w:hAnsi="仿宋" w:eastAsia="仿宋" w:cs="仿宋"/>
                <w:color w:val="000000" w:themeColor="text1"/>
                <w:szCs w:val="24"/>
              </w:rPr>
              <w:t>应对措施：与风险、机遇相适应。</w:t>
            </w:r>
          </w:p>
        </w:tc>
        <w:tc>
          <w:tcPr>
            <w:tcW w:w="646" w:type="dxa"/>
          </w:tcPr>
          <w:p>
            <w:p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措施的策划</w:t>
            </w:r>
          </w:p>
        </w:tc>
        <w:tc>
          <w:tcPr>
            <w:tcW w:w="1228" w:type="dxa"/>
            <w:vAlign w:val="center"/>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EO:6.1.4</w:t>
            </w:r>
          </w:p>
        </w:tc>
        <w:tc>
          <w:tcPr>
            <w:tcW w:w="10943" w:type="dxa"/>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公司根据环境因素和危险源的风险辨识结果，分别制定出《重要环境因素清单》、《重大危险源险清单》，清单内明确了控制措施计划，通过具体的措施进行有效控制：目标、管理方案、管理制度运行控制、应急预案、日常检查、日常培训。</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制定了《RX/QES-CX-17-2020</w:t>
            </w:r>
            <w:r>
              <w:rPr>
                <w:rFonts w:hint="eastAsia" w:ascii="仿宋" w:hAnsi="仿宋" w:eastAsia="仿宋" w:cs="仿宋"/>
                <w:sz w:val="24"/>
                <w:szCs w:val="24"/>
              </w:rPr>
              <w:tab/>
            </w:r>
            <w:r>
              <w:rPr>
                <w:rFonts w:hint="eastAsia" w:ascii="仿宋" w:hAnsi="仿宋" w:eastAsia="仿宋" w:cs="仿宋"/>
                <w:sz w:val="24"/>
                <w:szCs w:val="24"/>
              </w:rPr>
              <w:t>监视、测量、分析和评价控制程序》、《RX/QES-CX-25-2020</w:t>
            </w:r>
            <w:r>
              <w:rPr>
                <w:rFonts w:hint="eastAsia" w:ascii="仿宋" w:hAnsi="仿宋" w:eastAsia="仿宋" w:cs="仿宋"/>
                <w:sz w:val="24"/>
                <w:szCs w:val="24"/>
              </w:rPr>
              <w:tab/>
            </w:r>
            <w:r>
              <w:rPr>
                <w:rFonts w:hint="eastAsia" w:ascii="仿宋" w:hAnsi="仿宋" w:eastAsia="仿宋" w:cs="仿宋"/>
                <w:sz w:val="24"/>
                <w:szCs w:val="24"/>
              </w:rPr>
              <w:t>合规性评价程序》，每年对公司适用的合规义务进行识别更新并定期评价、检查。</w:t>
            </w:r>
          </w:p>
          <w:p>
            <w:pPr>
              <w:spacing w:line="360"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sz w:val="24"/>
                <w:szCs w:val="24"/>
              </w:rPr>
              <w:t>经组织评价，组织策划的措施基本能够满足风险和机遇应对需要，在建立、实施、保持管理体系时应用了以上措施。</w:t>
            </w:r>
          </w:p>
        </w:tc>
        <w:tc>
          <w:tcPr>
            <w:tcW w:w="646" w:type="dxa"/>
          </w:tcPr>
          <w:p>
            <w:p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jc w:val="left"/>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目标和措施计划（管理方案）</w:t>
            </w:r>
          </w:p>
        </w:tc>
        <w:tc>
          <w:tcPr>
            <w:tcW w:w="1228" w:type="dxa"/>
            <w:vAlign w:val="center"/>
          </w:tcPr>
          <w:p>
            <w:pPr>
              <w:spacing w:line="360" w:lineRule="auto"/>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EO：6.2</w:t>
            </w:r>
          </w:p>
          <w:p>
            <w:pPr>
              <w:spacing w:line="360" w:lineRule="auto"/>
              <w:jc w:val="left"/>
              <w:rPr>
                <w:rFonts w:hint="eastAsia" w:ascii="仿宋" w:hAnsi="仿宋" w:eastAsia="仿宋" w:cs="仿宋"/>
                <w:color w:val="000000" w:themeColor="text1"/>
                <w:kern w:val="2"/>
                <w:sz w:val="24"/>
                <w:szCs w:val="24"/>
                <w:lang w:val="en-US" w:eastAsia="zh-CN" w:bidi="ar-SA"/>
              </w:rPr>
            </w:pPr>
          </w:p>
        </w:tc>
        <w:tc>
          <w:tcPr>
            <w:tcW w:w="10943" w:type="dxa"/>
            <w:vAlign w:val="center"/>
          </w:tcPr>
          <w:p>
            <w:pPr>
              <w:spacing w:line="360" w:lineRule="auto"/>
              <w:ind w:firstLine="720" w:firstLineChars="3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查《质量/环境/职业健康安全/管理手册》，策划并制定了质量、环境、职业健康安全目标，并在相关职能、层次和过程上建立目标考虑了适用的要求，并与产品和服务的符合性以及增强顾客满意有关，均可测量，并与方针基本一致。目标以公告、会议形式传达、培训和内部沟通等形式进行了沟通。</w:t>
            </w:r>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查《质量/环境/职业健康安全/管理手册》，制定了公司目标，并在管理体系所需的相关职能、</w:t>
            </w:r>
          </w:p>
          <w:p>
            <w:pPr>
              <w:spacing w:line="520" w:lineRule="exact"/>
              <w:jc w:val="left"/>
              <w:rPr>
                <w:rFonts w:hint="eastAsia" w:ascii="仿宋" w:hAnsi="仿宋" w:eastAsia="仿宋" w:cs="仿宋"/>
                <w:b/>
                <w:sz w:val="24"/>
                <w:szCs w:val="24"/>
              </w:rPr>
            </w:pPr>
            <w:r>
              <w:rPr>
                <w:rFonts w:hint="eastAsia" w:ascii="仿宋" w:hAnsi="仿宋" w:eastAsia="仿宋" w:cs="仿宋"/>
                <w:b/>
                <w:sz w:val="24"/>
                <w:szCs w:val="24"/>
              </w:rPr>
              <w:t>环境目标:</w:t>
            </w:r>
          </w:p>
          <w:p>
            <w:pPr>
              <w:spacing w:line="520" w:lineRule="exact"/>
              <w:ind w:left="235" w:leftChars="112"/>
              <w:jc w:val="left"/>
              <w:rPr>
                <w:rFonts w:hint="eastAsia" w:ascii="仿宋" w:hAnsi="仿宋" w:eastAsia="仿宋" w:cs="仿宋"/>
                <w:sz w:val="24"/>
                <w:szCs w:val="24"/>
              </w:rPr>
            </w:pPr>
            <w:r>
              <w:rPr>
                <w:rFonts w:hint="eastAsia" w:ascii="仿宋" w:hAnsi="仿宋" w:eastAsia="仿宋" w:cs="仿宋"/>
                <w:sz w:val="24"/>
                <w:szCs w:val="24"/>
              </w:rPr>
              <w:t>1、年度内重大环境事故为0；</w:t>
            </w:r>
          </w:p>
          <w:p>
            <w:pPr>
              <w:spacing w:line="520" w:lineRule="exact"/>
              <w:ind w:left="235" w:leftChars="112"/>
              <w:jc w:val="left"/>
              <w:rPr>
                <w:rFonts w:hint="eastAsia" w:ascii="仿宋" w:hAnsi="仿宋" w:eastAsia="仿宋" w:cs="仿宋"/>
                <w:sz w:val="24"/>
                <w:szCs w:val="24"/>
              </w:rPr>
            </w:pPr>
            <w:r>
              <w:rPr>
                <w:rFonts w:hint="eastAsia" w:ascii="仿宋" w:hAnsi="仿宋" w:eastAsia="仿宋" w:cs="仿宋"/>
                <w:sz w:val="24"/>
                <w:szCs w:val="24"/>
              </w:rPr>
              <w:t>2、固体废弃物按要求处理率大于</w:t>
            </w:r>
            <w:r>
              <w:rPr>
                <w:rFonts w:hint="eastAsia" w:ascii="仿宋" w:hAnsi="仿宋" w:eastAsia="仿宋" w:cs="仿宋"/>
                <w:sz w:val="24"/>
                <w:szCs w:val="24"/>
                <w:lang w:val="en-US" w:eastAsia="zh-CN"/>
              </w:rPr>
              <w:t>100</w:t>
            </w:r>
            <w:r>
              <w:rPr>
                <w:rFonts w:hint="eastAsia" w:ascii="仿宋" w:hAnsi="仿宋" w:eastAsia="仿宋" w:cs="仿宋"/>
                <w:sz w:val="24"/>
                <w:szCs w:val="24"/>
              </w:rPr>
              <w:t>%；</w:t>
            </w:r>
          </w:p>
          <w:p>
            <w:pPr>
              <w:spacing w:line="520" w:lineRule="exact"/>
              <w:ind w:left="235" w:leftChars="112"/>
              <w:jc w:val="left"/>
              <w:rPr>
                <w:rFonts w:hint="eastAsia" w:ascii="仿宋" w:hAnsi="仿宋" w:eastAsia="宋体" w:cs="仿宋"/>
                <w:sz w:val="24"/>
                <w:szCs w:val="24"/>
                <w:lang w:val="en-US" w:eastAsia="zh-CN"/>
              </w:rPr>
            </w:pPr>
            <w:r>
              <w:rPr>
                <w:rFonts w:hint="eastAsia" w:ascii="仿宋" w:hAnsi="仿宋" w:eastAsia="仿宋" w:cs="仿宋"/>
                <w:sz w:val="24"/>
                <w:szCs w:val="24"/>
                <w:lang w:val="en-US" w:eastAsia="zh-CN"/>
              </w:rPr>
              <w:t>3、</w:t>
            </w:r>
            <w:r>
              <w:rPr>
                <w:rFonts w:hint="eastAsia"/>
                <w:sz w:val="24"/>
              </w:rPr>
              <w:t>无火灾事故</w:t>
            </w:r>
            <w:r>
              <w:rPr>
                <w:rFonts w:hint="eastAsia"/>
                <w:sz w:val="24"/>
                <w:lang w:eastAsia="zh-CN"/>
              </w:rPr>
              <w:t>。</w:t>
            </w:r>
          </w:p>
          <w:p>
            <w:pPr>
              <w:spacing w:line="520" w:lineRule="exact"/>
              <w:jc w:val="left"/>
              <w:rPr>
                <w:rFonts w:hint="eastAsia" w:ascii="仿宋" w:hAnsi="仿宋" w:eastAsia="仿宋" w:cs="仿宋"/>
                <w:b/>
                <w:sz w:val="24"/>
                <w:szCs w:val="24"/>
              </w:rPr>
            </w:pPr>
            <w:r>
              <w:rPr>
                <w:rFonts w:hint="eastAsia" w:ascii="仿宋" w:hAnsi="仿宋" w:eastAsia="仿宋" w:cs="仿宋"/>
                <w:b/>
                <w:sz w:val="24"/>
                <w:szCs w:val="24"/>
              </w:rPr>
              <w:t>职业健康安全目标：</w:t>
            </w:r>
          </w:p>
          <w:p>
            <w:pPr>
              <w:spacing w:line="500" w:lineRule="exact"/>
              <w:ind w:firstLine="235" w:firstLineChars="98"/>
              <w:jc w:val="left"/>
              <w:rPr>
                <w:rFonts w:hint="eastAsia" w:ascii="仿宋" w:hAnsi="仿宋" w:eastAsia="仿宋" w:cs="仿宋"/>
                <w:sz w:val="24"/>
              </w:rPr>
            </w:pPr>
            <w:r>
              <w:rPr>
                <w:rFonts w:hint="eastAsia" w:ascii="仿宋" w:hAnsi="仿宋" w:eastAsia="仿宋" w:cs="仿宋"/>
                <w:sz w:val="24"/>
              </w:rPr>
              <w:t>1、无人身死亡事故为；</w:t>
            </w:r>
          </w:p>
          <w:p>
            <w:pPr>
              <w:spacing w:line="500" w:lineRule="exact"/>
              <w:ind w:firstLine="235" w:firstLineChars="98"/>
              <w:jc w:val="left"/>
              <w:rPr>
                <w:rFonts w:hint="eastAsia" w:ascii="仿宋" w:hAnsi="仿宋" w:eastAsia="仿宋" w:cs="仿宋"/>
                <w:sz w:val="24"/>
              </w:rPr>
            </w:pPr>
            <w:r>
              <w:rPr>
                <w:rFonts w:hint="eastAsia" w:ascii="仿宋" w:hAnsi="仿宋" w:eastAsia="仿宋" w:cs="仿宋"/>
                <w:sz w:val="24"/>
              </w:rPr>
              <w:t>2、无重伤事故；轻伤事故控制在年度2次以内。</w:t>
            </w:r>
          </w:p>
          <w:p>
            <w:pPr>
              <w:spacing w:line="500" w:lineRule="exact"/>
              <w:ind w:firstLine="235" w:firstLineChars="98"/>
              <w:jc w:val="left"/>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、无重大交通事故。</w:t>
            </w:r>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组织对公司环境、职业健康安全目标、指标予以分解，并在相关职能层次部门建立分目标，</w:t>
            </w:r>
          </w:p>
          <w:p>
            <w:pPr>
              <w:spacing w:line="360" w:lineRule="auto"/>
              <w:rPr>
                <w:rFonts w:hint="default"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查见目标指标分解考核</w:t>
            </w:r>
            <w:r>
              <w:rPr>
                <w:rFonts w:hint="eastAsia" w:ascii="仿宋" w:hAnsi="仿宋" w:eastAsia="仿宋" w:cs="仿宋"/>
                <w:color w:val="000000" w:themeColor="text1"/>
                <w:sz w:val="24"/>
                <w:szCs w:val="24"/>
                <w:lang w:eastAsia="zh-CN"/>
              </w:rPr>
              <w:t>，</w:t>
            </w:r>
            <w:r>
              <w:rPr>
                <w:rFonts w:hint="eastAsia" w:ascii="仿宋" w:hAnsi="仿宋" w:eastAsia="仿宋" w:cs="仿宋"/>
                <w:color w:val="000000" w:themeColor="text1"/>
                <w:sz w:val="24"/>
                <w:szCs w:val="24"/>
                <w:lang w:val="en-US" w:eastAsia="zh-CN"/>
              </w:rPr>
              <w:t>2022.5.30考核目标完成。</w:t>
            </w:r>
          </w:p>
        </w:tc>
        <w:tc>
          <w:tcPr>
            <w:tcW w:w="646" w:type="dxa"/>
          </w:tcPr>
          <w:p>
            <w:p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资源</w:t>
            </w:r>
          </w:p>
        </w:tc>
        <w:tc>
          <w:tcPr>
            <w:tcW w:w="1228" w:type="dxa"/>
            <w:vAlign w:val="center"/>
          </w:tcPr>
          <w:p>
            <w:pP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 xml:space="preserve"> </w:t>
            </w:r>
          </w:p>
          <w:p>
            <w:pP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EO：7.1</w:t>
            </w:r>
          </w:p>
        </w:tc>
        <w:tc>
          <w:tcPr>
            <w:tcW w:w="10943" w:type="dxa"/>
            <w:vAlign w:val="center"/>
          </w:tcPr>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等基础设施以及必要的工作环境，配备较为充分。</w:t>
            </w:r>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总经理王梦思主持了今年的管理评审，对方针、目标的适宜性进行了评审，管代进行了内审，确保所需资源得到满足。</w:t>
            </w:r>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为确保公司环保、安全资金得得以保障，公司每年制定专门预算，及时提供有关资金，确保本公司各项资金及时到位，保证环保、安全活动得到实施，达到预防污染、安全第一的活动目的。经了解组织环保、安全主要投入到固废分类处置、劳保、体检、消防、福利费用等投入方面。</w:t>
            </w:r>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通过现场观察及与领导沟通了解到，公司为确保管理体系的有效运行和持续改进，确保满足顾客要求，增强顾客满意，确定并提供了必要的资源，目前仓库和办公室等资源配备基本能满足要求，机构设置合理。经过管理体系运行证明，现有资源可满足体系和产品的要求。</w:t>
            </w:r>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公司目前的基础设施，能够满足当前环境/职业健康安全/体系的要求。</w:t>
            </w:r>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公司将依据经营发展的需要，会不断补充与增加。</w:t>
            </w:r>
          </w:p>
        </w:tc>
        <w:tc>
          <w:tcPr>
            <w:tcW w:w="646" w:type="dxa"/>
          </w:tcPr>
          <w:p>
            <w:p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892" w:type="dxa"/>
            <w:vAlign w:val="center"/>
          </w:tcPr>
          <w:p>
            <w:pPr>
              <w:rPr>
                <w:rFonts w:hint="eastAsia" w:ascii="仿宋" w:hAnsi="仿宋" w:eastAsia="仿宋" w:cs="仿宋"/>
                <w:color w:val="000000" w:themeColor="text1"/>
                <w:sz w:val="24"/>
                <w:szCs w:val="24"/>
              </w:rPr>
            </w:pPr>
          </w:p>
          <w:p>
            <w:pPr>
              <w:rPr>
                <w:rFonts w:hint="eastAsia" w:ascii="仿宋" w:hAnsi="仿宋" w:eastAsia="仿宋" w:cs="仿宋"/>
                <w:color w:val="000000" w:themeColor="text1"/>
                <w:sz w:val="24"/>
                <w:szCs w:val="24"/>
              </w:rPr>
            </w:pPr>
          </w:p>
          <w:p>
            <w:pPr>
              <w:rPr>
                <w:rFonts w:hint="eastAsia" w:ascii="仿宋" w:hAnsi="仿宋" w:eastAsia="仿宋" w:cs="仿宋"/>
                <w:color w:val="000000" w:themeColor="text1"/>
                <w:sz w:val="24"/>
                <w:szCs w:val="24"/>
              </w:rPr>
            </w:pPr>
          </w:p>
          <w:p>
            <w:pP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协商与参与、安全事务代表</w:t>
            </w:r>
          </w:p>
        </w:tc>
        <w:tc>
          <w:tcPr>
            <w:tcW w:w="1228" w:type="dxa"/>
            <w:vAlign w:val="center"/>
          </w:tcPr>
          <w:p>
            <w:pPr>
              <w:spacing w:line="360" w:lineRule="auto"/>
              <w:ind w:firstLine="480" w:firstLineChars="200"/>
              <w:rPr>
                <w:rFonts w:hint="eastAsia" w:ascii="仿宋" w:hAnsi="仿宋" w:eastAsia="仿宋" w:cs="仿宋"/>
                <w:color w:val="000000" w:themeColor="text1"/>
                <w:sz w:val="24"/>
                <w:szCs w:val="24"/>
              </w:rPr>
            </w:pPr>
          </w:p>
          <w:p>
            <w:pPr>
              <w:spacing w:line="360" w:lineRule="auto"/>
              <w:ind w:firstLine="480" w:firstLineChars="200"/>
              <w:rPr>
                <w:rFonts w:hint="eastAsia" w:ascii="仿宋" w:hAnsi="仿宋" w:eastAsia="仿宋" w:cs="仿宋"/>
                <w:color w:val="000000" w:themeColor="text1"/>
                <w:sz w:val="24"/>
                <w:szCs w:val="24"/>
              </w:rPr>
            </w:pPr>
          </w:p>
          <w:p>
            <w:pPr>
              <w:spacing w:line="360" w:lineRule="auto"/>
              <w:ind w:firstLine="480" w:firstLineChars="200"/>
              <w:rPr>
                <w:rFonts w:hint="eastAsia" w:ascii="仿宋" w:hAnsi="仿宋" w:eastAsia="仿宋" w:cs="仿宋"/>
                <w:color w:val="000000" w:themeColor="text1"/>
                <w:sz w:val="24"/>
                <w:szCs w:val="24"/>
              </w:rPr>
            </w:pPr>
          </w:p>
          <w:p>
            <w:p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 xml:space="preserve">  </w:t>
            </w:r>
          </w:p>
          <w:p>
            <w:p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 xml:space="preserve">O：5.4 </w:t>
            </w:r>
          </w:p>
        </w:tc>
        <w:tc>
          <w:tcPr>
            <w:tcW w:w="10943" w:type="dxa"/>
            <w:vAlign w:val="center"/>
          </w:tcPr>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编制了《RX/QES-CX-11-2020</w:t>
            </w:r>
            <w:r>
              <w:rPr>
                <w:rFonts w:hint="eastAsia" w:ascii="仿宋" w:hAnsi="仿宋" w:eastAsia="仿宋" w:cs="仿宋"/>
                <w:color w:val="000000" w:themeColor="text1"/>
                <w:sz w:val="24"/>
                <w:szCs w:val="24"/>
              </w:rPr>
              <w:tab/>
            </w:r>
            <w:r>
              <w:rPr>
                <w:rFonts w:hint="eastAsia" w:ascii="仿宋" w:hAnsi="仿宋" w:eastAsia="仿宋" w:cs="仿宋"/>
                <w:color w:val="000000" w:themeColor="text1"/>
                <w:sz w:val="24"/>
                <w:szCs w:val="24"/>
              </w:rPr>
              <w:t>沟通控制程序》，规定：组织在各部门之间建立了与体系有关的信息通渠沟道，借助于会议、电话、口头交流等方式使全体员工达到沟通和理解。目前各部门协调一致，工作上的借口基本理顺。</w:t>
            </w:r>
          </w:p>
          <w:p>
            <w:pPr>
              <w:tabs>
                <w:tab w:val="left" w:pos="9720"/>
                <w:tab w:val="left" w:pos="9900"/>
              </w:tabs>
              <w:spacing w:before="62" w:beforeLines="20" w:after="62" w:afterLines="20"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 xml:space="preserve">总经理王梦思定期主持经营办公例会，分析公司的发展、市场情况和体系运行是否有效，管理目标完成情况，满足顾客要求和法规程度，改进建议等内部管理存在问题等。  </w:t>
            </w:r>
          </w:p>
          <w:p>
            <w:pPr>
              <w:spacing w:line="360" w:lineRule="auto"/>
              <w:ind w:firstLine="480" w:firstLineChars="200"/>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查证了以下证据、确定员工参与和协商的方式：</w:t>
            </w:r>
          </w:p>
          <w:p>
            <w:pPr>
              <w:spacing w:line="360" w:lineRule="auto"/>
              <w:ind w:firstLine="480" w:firstLineChars="200"/>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1.为参与和协商提供所需的机制、时间、培训和资源包括——设立了员工代表（尹忠广）、提供时间、培训、人力物力财力等资源。</w:t>
            </w:r>
          </w:p>
          <w:p>
            <w:pPr>
              <w:spacing w:line="360" w:lineRule="auto"/>
              <w:ind w:firstLine="480" w:firstLineChars="200"/>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2.及时提供获取清晰的，易于理解的有关职业健康安全管理体系相关的信息的渠道——设立意见建议箱、提供公司内部邮件处理系统并及时反馈；</w:t>
            </w:r>
          </w:p>
          <w:p>
            <w:pPr>
              <w:spacing w:line="360" w:lineRule="auto"/>
              <w:ind w:firstLine="480" w:firstLineChars="200"/>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3.另经询问得知：不存在包括对工作人员的意见或建议未作出响应,语言或文字障碍、报复或者报复性的威胁、以及防碍或不利于员工参与的制度或实践的障碍和屏障，现场也未发现类似情况的发生。</w:t>
            </w:r>
          </w:p>
          <w:p>
            <w:pPr>
              <w:spacing w:line="360" w:lineRule="auto"/>
              <w:ind w:firstLine="480" w:firstLineChars="200"/>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 xml:space="preserve">4.在下述方面强调非管理岗位员工的协商：确定相关方的需求和期望；制定职业健康安全方针；适用时，分配组织的角色、职责和权限；确定如何履行法律法规要求和其他要求；制定职业健康安全目标和实现目标的策划；对外包、采购和承包商确定适用的的控制；确定需要监视、测量和评价的内容等； </w:t>
            </w:r>
          </w:p>
          <w:p>
            <w:pPr>
              <w:spacing w:line="360" w:lineRule="auto"/>
              <w:ind w:firstLine="480" w:firstLineChars="200"/>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5.在下述方面强调非管理岗位员工的参与：确定使他们参与和协商的机制；辨识危险源及评价风险和机遇；</w:t>
            </w:r>
          </w:p>
          <w:p>
            <w:pPr>
              <w:spacing w:line="360" w:lineRule="auto"/>
              <w:ind w:firstLine="480" w:firstLineChars="200"/>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确定消除危险源以及降低职业健康安全风险的措施 ；确定能力要求、培训需求、培训以及对培训进行评价；</w:t>
            </w:r>
          </w:p>
          <w:p>
            <w:pPr>
              <w:spacing w:line="360" w:lineRule="auto"/>
              <w:ind w:firstLine="480" w:firstLineChars="200"/>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确定需要沟通的内容以及如何进行沟通 ；确定控制措施以及这些措施的有效实施和应用 ；对事件和不符合进行调查以及确定纠正措施 。</w:t>
            </w:r>
          </w:p>
          <w:p>
            <w:pPr>
              <w:spacing w:line="360" w:lineRule="auto"/>
              <w:ind w:firstLine="480" w:firstLineChars="200"/>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6.另根据安全生产法相关内容要求参与和协商：</w:t>
            </w:r>
          </w:p>
          <w:p>
            <w:pPr>
              <w:spacing w:line="360" w:lineRule="auto"/>
              <w:ind w:firstLine="480" w:firstLineChars="200"/>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内部协商和参与：适当参与危险源辨识、风险评估、控制措施的确定的、适当参与事件调查的；参与职业健康方针和目标制定和评审；对影响他们职业健康安全的任何变化进行协商；对职业健康安全事物发表意见的；</w:t>
            </w:r>
          </w:p>
          <w:p>
            <w:pPr>
              <w:tabs>
                <w:tab w:val="left" w:pos="9720"/>
                <w:tab w:val="left" w:pos="9900"/>
              </w:tabs>
              <w:spacing w:before="62" w:beforeLines="20" w:after="62" w:afterLines="20"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与承包方的协商：新的或不熟悉的危险源、新的或改进的控制措施；材料、设备、有害暴露等的变化；应急安排的变化；法律法规和其他要求的变化等；。</w:t>
            </w:r>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现场查见会议记录、培训记录、文件签收等组织内部培训方式相关记录。</w:t>
            </w:r>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办公室是内外部信息交流的中心，通过会议、邮件、培训等形式进行内部交流，向外部接收各种文件传递各种报表，外部沟通联络的部门有环保部门、劳动部门、消防安全部门、质监部门、安监部门及合同方等。</w:t>
            </w:r>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经交流：目前与环保、劳动、消防、安监部门的信息交流主要是参加会议、接收来文、电话、邮件等，均按要求予以传达和落实，沟通情况较好。</w:t>
            </w:r>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相关人员能够适当参与并协商办理公司经营管理及安全事务等工作。</w:t>
            </w:r>
          </w:p>
          <w:p>
            <w:pPr>
              <w:tabs>
                <w:tab w:val="left" w:pos="9720"/>
                <w:tab w:val="left" w:pos="9900"/>
              </w:tabs>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公司经选举确定职业健康安全事务代表是尹忠广。</w:t>
            </w:r>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1）参与公司管理方针与目标的制定，及管理体系的策划。</w:t>
            </w:r>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2）参加管理评审，就公司管理体系的绩效、管理方针与目标的实施进行评价。</w:t>
            </w:r>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3）参与讨论、评议公司拟实施的任何影响作业人员职业健康安全的变更决定。</w:t>
            </w:r>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4）参与重大事故的调查、分析和处理。</w:t>
            </w:r>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5）接受员工对管理体系的改进意见和建议，并与有关部门进行沟通，协商解决和处理由于公司福利待遇正常发放，员工无抱怨，目前信息交流机制畅通。</w:t>
            </w:r>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现有的沟通渠道和方法能满足要求。审核中未发现因沟通不利不及时而造成（影响）某项工作不能正常运行的情况。</w:t>
            </w:r>
          </w:p>
        </w:tc>
        <w:tc>
          <w:tcPr>
            <w:tcW w:w="646" w:type="dxa"/>
            <w:vAlign w:val="center"/>
          </w:tcPr>
          <w:p>
            <w:pP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892" w:type="dxa"/>
          </w:tcPr>
          <w:p>
            <w:pPr>
              <w:spacing w:line="360" w:lineRule="auto"/>
              <w:rPr>
                <w:rFonts w:hint="eastAsia" w:ascii="仿宋" w:hAnsi="仿宋" w:eastAsia="仿宋" w:cs="仿宋"/>
                <w:color w:val="000000" w:themeColor="text1"/>
                <w:sz w:val="24"/>
                <w:szCs w:val="24"/>
              </w:rPr>
            </w:pPr>
          </w:p>
          <w:p>
            <w:pPr>
              <w:spacing w:line="360" w:lineRule="auto"/>
              <w:rPr>
                <w:rFonts w:hint="eastAsia" w:ascii="仿宋" w:hAnsi="仿宋" w:eastAsia="仿宋" w:cs="仿宋"/>
                <w:color w:val="000000" w:themeColor="text1"/>
                <w:sz w:val="24"/>
                <w:szCs w:val="24"/>
              </w:rPr>
            </w:pPr>
          </w:p>
          <w:p>
            <w:pPr>
              <w:spacing w:line="360" w:lineRule="auto"/>
              <w:rPr>
                <w:rFonts w:hint="eastAsia" w:ascii="仿宋" w:hAnsi="仿宋" w:eastAsia="仿宋" w:cs="仿宋"/>
                <w:color w:val="000000" w:themeColor="text1"/>
                <w:sz w:val="24"/>
                <w:szCs w:val="24"/>
              </w:rPr>
            </w:pPr>
          </w:p>
          <w:p>
            <w:pPr>
              <w:spacing w:line="360" w:lineRule="auto"/>
              <w:rPr>
                <w:rFonts w:hint="eastAsia" w:ascii="仿宋" w:hAnsi="仿宋" w:eastAsia="仿宋" w:cs="仿宋"/>
                <w:color w:val="000000" w:themeColor="text1"/>
                <w:sz w:val="24"/>
                <w:szCs w:val="24"/>
              </w:rPr>
            </w:pPr>
          </w:p>
          <w:p>
            <w:pPr>
              <w:spacing w:line="360" w:lineRule="auto"/>
              <w:rPr>
                <w:rFonts w:hint="eastAsia" w:ascii="仿宋" w:hAnsi="仿宋" w:eastAsia="仿宋" w:cs="仿宋"/>
                <w:color w:val="000000" w:themeColor="text1"/>
                <w:sz w:val="24"/>
                <w:szCs w:val="24"/>
              </w:rPr>
            </w:pPr>
          </w:p>
          <w:p>
            <w:pPr>
              <w:spacing w:line="360" w:lineRule="auto"/>
              <w:rPr>
                <w:rFonts w:hint="eastAsia" w:ascii="仿宋" w:hAnsi="仿宋" w:eastAsia="仿宋" w:cs="仿宋"/>
                <w:color w:val="000000" w:themeColor="text1"/>
                <w:sz w:val="24"/>
                <w:szCs w:val="24"/>
              </w:rPr>
            </w:pPr>
          </w:p>
          <w:p>
            <w:pPr>
              <w:spacing w:line="360" w:lineRule="auto"/>
              <w:ind w:firstLine="240" w:firstLineChars="1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管理评审</w:t>
            </w:r>
          </w:p>
          <w:p>
            <w:pPr>
              <w:spacing w:line="360" w:lineRule="auto"/>
              <w:rPr>
                <w:rFonts w:hint="eastAsia" w:ascii="仿宋" w:hAnsi="仿宋" w:eastAsia="仿宋" w:cs="仿宋"/>
                <w:color w:val="000000" w:themeColor="text1"/>
                <w:sz w:val="24"/>
                <w:szCs w:val="24"/>
              </w:rPr>
            </w:pPr>
          </w:p>
        </w:tc>
        <w:tc>
          <w:tcPr>
            <w:tcW w:w="1228" w:type="dxa"/>
          </w:tcPr>
          <w:p>
            <w:pPr>
              <w:spacing w:line="360" w:lineRule="auto"/>
              <w:rPr>
                <w:rFonts w:hint="eastAsia" w:ascii="仿宋" w:hAnsi="仿宋" w:eastAsia="仿宋" w:cs="仿宋"/>
                <w:color w:val="000000" w:themeColor="text1"/>
                <w:sz w:val="24"/>
                <w:szCs w:val="24"/>
              </w:rPr>
            </w:pPr>
          </w:p>
          <w:p>
            <w:pPr>
              <w:spacing w:line="360" w:lineRule="auto"/>
              <w:rPr>
                <w:rFonts w:hint="eastAsia" w:ascii="仿宋" w:hAnsi="仿宋" w:eastAsia="仿宋" w:cs="仿宋"/>
                <w:color w:val="000000" w:themeColor="text1"/>
                <w:sz w:val="24"/>
                <w:szCs w:val="24"/>
              </w:rPr>
            </w:pPr>
          </w:p>
          <w:p>
            <w:pPr>
              <w:spacing w:line="360" w:lineRule="auto"/>
              <w:rPr>
                <w:rFonts w:hint="eastAsia" w:ascii="仿宋" w:hAnsi="仿宋" w:eastAsia="仿宋" w:cs="仿宋"/>
                <w:color w:val="000000" w:themeColor="text1"/>
                <w:sz w:val="24"/>
                <w:szCs w:val="24"/>
              </w:rPr>
            </w:pPr>
          </w:p>
          <w:p>
            <w:pPr>
              <w:spacing w:line="360" w:lineRule="auto"/>
              <w:rPr>
                <w:rFonts w:hint="eastAsia" w:ascii="仿宋" w:hAnsi="仿宋" w:eastAsia="仿宋" w:cs="仿宋"/>
                <w:color w:val="000000" w:themeColor="text1"/>
                <w:sz w:val="24"/>
                <w:szCs w:val="24"/>
              </w:rPr>
            </w:pPr>
          </w:p>
          <w:p>
            <w:pPr>
              <w:spacing w:line="360" w:lineRule="auto"/>
              <w:rPr>
                <w:rFonts w:hint="eastAsia" w:ascii="仿宋" w:hAnsi="仿宋" w:eastAsia="仿宋" w:cs="仿宋"/>
                <w:color w:val="000000" w:themeColor="text1"/>
                <w:sz w:val="24"/>
                <w:szCs w:val="24"/>
              </w:rPr>
            </w:pPr>
          </w:p>
          <w:p>
            <w:pPr>
              <w:spacing w:line="360" w:lineRule="auto"/>
              <w:rPr>
                <w:rFonts w:hint="eastAsia" w:ascii="仿宋" w:hAnsi="仿宋" w:eastAsia="仿宋" w:cs="仿宋"/>
                <w:color w:val="000000" w:themeColor="text1"/>
                <w:sz w:val="24"/>
                <w:szCs w:val="24"/>
              </w:rPr>
            </w:pPr>
          </w:p>
          <w:p>
            <w:p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EO：9.3</w:t>
            </w:r>
          </w:p>
          <w:p>
            <w:pPr>
              <w:spacing w:line="360" w:lineRule="auto"/>
              <w:rPr>
                <w:rFonts w:hint="eastAsia" w:ascii="仿宋" w:hAnsi="仿宋" w:eastAsia="仿宋" w:cs="仿宋"/>
                <w:color w:val="000000" w:themeColor="text1"/>
                <w:sz w:val="24"/>
                <w:szCs w:val="24"/>
              </w:rPr>
            </w:pPr>
          </w:p>
          <w:p>
            <w:pPr>
              <w:spacing w:line="360" w:lineRule="auto"/>
              <w:rPr>
                <w:rFonts w:hint="eastAsia" w:ascii="仿宋" w:hAnsi="仿宋" w:eastAsia="仿宋" w:cs="仿宋"/>
                <w:color w:val="000000" w:themeColor="text1"/>
                <w:sz w:val="24"/>
                <w:szCs w:val="24"/>
              </w:rPr>
            </w:pPr>
          </w:p>
        </w:tc>
        <w:tc>
          <w:tcPr>
            <w:tcW w:w="10943" w:type="dxa"/>
            <w:vAlign w:val="center"/>
          </w:tcPr>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公司编制并实施《RX/QES-CX-19-2020</w:t>
            </w:r>
            <w:r>
              <w:rPr>
                <w:rFonts w:hint="eastAsia" w:ascii="仿宋" w:hAnsi="仿宋" w:eastAsia="仿宋" w:cs="仿宋"/>
                <w:color w:val="000000" w:themeColor="text1"/>
                <w:sz w:val="24"/>
                <w:szCs w:val="24"/>
              </w:rPr>
              <w:tab/>
            </w:r>
            <w:r>
              <w:rPr>
                <w:rFonts w:hint="eastAsia" w:ascii="仿宋" w:hAnsi="仿宋" w:eastAsia="仿宋" w:cs="仿宋"/>
                <w:color w:val="000000" w:themeColor="text1"/>
                <w:sz w:val="24"/>
                <w:szCs w:val="24"/>
              </w:rPr>
              <w:t>管理评审控制程序》，规定管理评审每年至少进行一次，根据具体情况可以增加，增加审核由办公室提出审核计划，报管理者代表批准后实施。</w:t>
            </w:r>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查策划：在《管理评审程序》中明确了管理评审的实施要求。策划每年进行一次管理评审，间隔不超过12个月。</w:t>
            </w:r>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查阅公司管理评审资料，提供：管理评审计划，评审时间：计划</w:t>
            </w:r>
            <w:r>
              <w:rPr>
                <w:rFonts w:hint="eastAsia" w:ascii="仿宋" w:hAnsi="仿宋" w:eastAsia="仿宋" w:cs="仿宋"/>
                <w:color w:val="000000" w:themeColor="text1"/>
                <w:sz w:val="24"/>
                <w:szCs w:val="24"/>
                <w:lang w:eastAsia="zh-CN"/>
              </w:rPr>
              <w:t>2022年4月20日</w:t>
            </w:r>
            <w:r>
              <w:rPr>
                <w:rFonts w:hint="eastAsia" w:ascii="仿宋" w:hAnsi="仿宋" w:eastAsia="仿宋" w:cs="仿宋"/>
                <w:color w:val="000000" w:themeColor="text1"/>
                <w:sz w:val="24"/>
                <w:szCs w:val="24"/>
              </w:rPr>
              <w:t>进行，评审方式：会议评审，参加人员：总经理、管代及各部门负责人，计划中明确了评审内容和资料准备要求。</w:t>
            </w:r>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查阅管理评审会议记录，</w:t>
            </w:r>
            <w:r>
              <w:rPr>
                <w:rFonts w:hint="eastAsia" w:ascii="仿宋" w:hAnsi="仿宋" w:eastAsia="仿宋" w:cs="仿宋"/>
                <w:color w:val="000000" w:themeColor="text1"/>
                <w:sz w:val="24"/>
                <w:szCs w:val="24"/>
                <w:lang w:eastAsia="zh-CN"/>
              </w:rPr>
              <w:t>2022年4月20日</w:t>
            </w:r>
            <w:r>
              <w:rPr>
                <w:rFonts w:hint="eastAsia" w:ascii="仿宋" w:hAnsi="仿宋" w:eastAsia="仿宋" w:cs="仿宋"/>
                <w:color w:val="000000" w:themeColor="text1"/>
                <w:sz w:val="24"/>
                <w:szCs w:val="24"/>
              </w:rPr>
              <w:t xml:space="preserve">，在公司会议室，由王梦思主持人，参加人员：管代，各部门主管。  </w:t>
            </w:r>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管理评审内容包括：内审情况和合规性评价的结果；各部门质量管理体系运行情况汇报；评价方针、目标、指标和管理体系文件的适宜性；顾客及相关方满意情况，包括抱怨；预防和纠正措状况等。</w:t>
            </w:r>
          </w:p>
          <w:p>
            <w:pPr>
              <w:autoSpaceDE w:val="0"/>
              <w:autoSpaceDN w:val="0"/>
              <w:spacing w:line="500" w:lineRule="exact"/>
              <w:ind w:left="57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查管理评审结论：</w:t>
            </w:r>
            <w:r>
              <w:rPr>
                <w:rFonts w:hint="eastAsia" w:ascii="仿宋" w:hAnsi="仿宋" w:eastAsia="仿宋" w:cs="仿宋"/>
                <w:color w:val="000000"/>
                <w:sz w:val="24"/>
                <w:szCs w:val="24"/>
              </w:rPr>
              <w:t>管理体系文件运行是有效的，方针和目标的贯彻是有效的。没有发生质量和环境、职业健康安全投诉，运行符合法律法规的要求。领导的重视为体系的运行创造了有利条件。为保证三体系的持续正常有效运行，对运行中存在的问题根据实际情况及时纠正</w:t>
            </w:r>
            <w:r>
              <w:rPr>
                <w:rFonts w:hint="eastAsia" w:ascii="仿宋" w:hAnsi="仿宋" w:eastAsia="仿宋" w:cs="仿宋"/>
                <w:color w:val="000000" w:themeColor="text1"/>
                <w:sz w:val="24"/>
                <w:szCs w:val="24"/>
              </w:rPr>
              <w:t>。</w:t>
            </w:r>
          </w:p>
          <w:p>
            <w:p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改进措施计划：</w:t>
            </w:r>
          </w:p>
          <w:p>
            <w:pPr>
              <w:spacing w:line="360" w:lineRule="auto"/>
              <w:ind w:firstLine="480" w:firstLineChars="200"/>
              <w:rPr>
                <w:rFonts w:hint="eastAsia" w:ascii="仿宋" w:hAnsi="仿宋" w:eastAsia="楷体_GB2312" w:cs="仿宋"/>
                <w:sz w:val="24"/>
                <w:szCs w:val="24"/>
                <w:lang w:eastAsia="zh-CN"/>
              </w:rPr>
            </w:pPr>
            <w:r>
              <w:rPr>
                <w:rFonts w:hint="eastAsia" w:ascii="楷体_GB2312" w:hAnsi="宋体" w:eastAsia="楷体_GB2312"/>
                <w:color w:val="000000"/>
                <w:sz w:val="24"/>
                <w:szCs w:val="24"/>
              </w:rPr>
              <w:t>根据管理评审结果，对发现的个性、偶然性问题，举一反三制订纠正和预防措施计划，并按计划要求组织实施及跟踪检查验证，确保ISO9001：2015、ISO14001：2015、ISO45001:2018管理体系高质量的顺畅运行，提高公司绩效管理。</w:t>
            </w:r>
            <w:r>
              <w:rPr>
                <w:rFonts w:hint="eastAsia" w:ascii="仿宋" w:hAnsi="仿宋" w:eastAsia="楷体_GB2312" w:cs="仿宋"/>
                <w:sz w:val="24"/>
                <w:szCs w:val="24"/>
                <w:lang w:eastAsia="zh-CN"/>
              </w:rPr>
              <w:drawing>
                <wp:inline distT="0" distB="0" distL="114300" distR="114300">
                  <wp:extent cx="2736215" cy="2620010"/>
                  <wp:effectExtent l="0" t="0" r="6985" b="8890"/>
                  <wp:docPr id="1" name="图片 1" descr="日兴管理评审签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日兴管理评审签到"/>
                          <pic:cNvPicPr>
                            <a:picLocks noChangeAspect="1"/>
                          </pic:cNvPicPr>
                        </pic:nvPicPr>
                        <pic:blipFill>
                          <a:blip r:embed="rId6"/>
                          <a:stretch>
                            <a:fillRect/>
                          </a:stretch>
                        </pic:blipFill>
                        <pic:spPr>
                          <a:xfrm>
                            <a:off x="0" y="0"/>
                            <a:ext cx="2736215" cy="2620010"/>
                          </a:xfrm>
                          <a:prstGeom prst="rect">
                            <a:avLst/>
                          </a:prstGeom>
                        </pic:spPr>
                      </pic:pic>
                    </a:graphicData>
                  </a:graphic>
                </wp:inline>
              </w:drawing>
            </w:r>
          </w:p>
        </w:tc>
        <w:tc>
          <w:tcPr>
            <w:tcW w:w="646" w:type="dxa"/>
            <w:vAlign w:val="center"/>
          </w:tcPr>
          <w:p>
            <w:pPr>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2" w:type="dxa"/>
            <w:vAlign w:val="center"/>
          </w:tcPr>
          <w:p>
            <w:pP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改进</w:t>
            </w:r>
          </w:p>
          <w:p>
            <w:pPr>
              <w:rPr>
                <w:rFonts w:hint="eastAsia" w:ascii="仿宋" w:hAnsi="仿宋" w:eastAsia="仿宋" w:cs="仿宋"/>
                <w:color w:val="000000" w:themeColor="text1"/>
                <w:sz w:val="24"/>
                <w:szCs w:val="24"/>
              </w:rPr>
            </w:pPr>
          </w:p>
        </w:tc>
        <w:tc>
          <w:tcPr>
            <w:tcW w:w="1228" w:type="dxa"/>
            <w:vAlign w:val="center"/>
          </w:tcPr>
          <w:p>
            <w:pP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EO：10.1、10.3</w:t>
            </w:r>
          </w:p>
          <w:p>
            <w:pPr>
              <w:rPr>
                <w:rFonts w:hint="eastAsia" w:ascii="仿宋" w:hAnsi="仿宋" w:eastAsia="仿宋" w:cs="仿宋"/>
                <w:color w:val="000000" w:themeColor="text1"/>
                <w:sz w:val="24"/>
                <w:szCs w:val="24"/>
              </w:rPr>
            </w:pPr>
          </w:p>
        </w:tc>
        <w:tc>
          <w:tcPr>
            <w:tcW w:w="10943" w:type="dxa"/>
            <w:vAlign w:val="center"/>
          </w:tcPr>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管理者代表根据总经理意图组织持续改进过程的策划工作，由办公室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自体系运行以来，全员的质量意识、服务意识、环保意识、职业健康安全防护有提高，市场经营规模有了较大发展，持续改进了管理体系的有效性。</w:t>
            </w:r>
          </w:p>
        </w:tc>
        <w:tc>
          <w:tcPr>
            <w:tcW w:w="646" w:type="dxa"/>
            <w:vAlign w:val="center"/>
          </w:tcPr>
          <w:p>
            <w:pP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符合</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2" w:type="dxa"/>
          </w:tcPr>
          <w:p>
            <w:p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国家/地方抽查、顾客满意、相关方投诉处理</w:t>
            </w:r>
          </w:p>
        </w:tc>
        <w:tc>
          <w:tcPr>
            <w:tcW w:w="1228" w:type="dxa"/>
          </w:tcPr>
          <w:p>
            <w:pPr>
              <w:spacing w:line="360" w:lineRule="auto"/>
              <w:ind w:firstLine="480" w:firstLineChars="200"/>
              <w:rPr>
                <w:rFonts w:hint="eastAsia" w:ascii="仿宋" w:hAnsi="仿宋" w:eastAsia="仿宋" w:cs="仿宋"/>
                <w:color w:val="000000" w:themeColor="text1"/>
                <w:sz w:val="24"/>
                <w:szCs w:val="24"/>
              </w:rPr>
            </w:pPr>
          </w:p>
        </w:tc>
        <w:tc>
          <w:tcPr>
            <w:tcW w:w="10943" w:type="dxa"/>
          </w:tcPr>
          <w:p>
            <w:p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自公司成立以来，未受到上级主管部门有关质量、环境问题、职业健康安全的行政处罚。未发生相关方的投诉。</w:t>
            </w:r>
          </w:p>
          <w:p>
            <w:p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暂没有国家/地方抽查情况。</w:t>
            </w:r>
          </w:p>
          <w:p>
            <w:p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目前没有相关行政主管部门的检查处罚，在审核时也未发现抽查、相关方投诉等情况。</w:t>
            </w:r>
          </w:p>
        </w:tc>
        <w:tc>
          <w:tcPr>
            <w:tcW w:w="646" w:type="dxa"/>
            <w:vAlign w:val="center"/>
          </w:tcPr>
          <w:p>
            <w:pPr>
              <w:rPr>
                <w:rFonts w:hint="eastAsia" w:ascii="仿宋" w:hAnsi="仿宋" w:eastAsia="仿宋" w:cs="仿宋"/>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892" w:type="dxa"/>
          </w:tcPr>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验证资质</w:t>
            </w:r>
          </w:p>
        </w:tc>
        <w:tc>
          <w:tcPr>
            <w:tcW w:w="1228" w:type="dxa"/>
          </w:tcPr>
          <w:p>
            <w:pPr>
              <w:spacing w:line="360" w:lineRule="auto"/>
              <w:ind w:firstLine="480" w:firstLineChars="200"/>
              <w:rPr>
                <w:rFonts w:hint="eastAsia" w:ascii="仿宋" w:hAnsi="仿宋" w:eastAsia="仿宋" w:cs="仿宋"/>
                <w:color w:val="000000" w:themeColor="text1"/>
                <w:sz w:val="24"/>
                <w:szCs w:val="24"/>
              </w:rPr>
            </w:pPr>
          </w:p>
        </w:tc>
        <w:tc>
          <w:tcPr>
            <w:tcW w:w="10943" w:type="dxa"/>
          </w:tcPr>
          <w:p>
            <w:p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提供了组织营业执照均为有效。</w:t>
            </w:r>
          </w:p>
        </w:tc>
        <w:tc>
          <w:tcPr>
            <w:tcW w:w="646" w:type="dxa"/>
            <w:vAlign w:val="center"/>
          </w:tcPr>
          <w:p>
            <w:pPr>
              <w:rPr>
                <w:rFonts w:hint="eastAsia" w:ascii="仿宋" w:hAnsi="仿宋" w:eastAsia="仿宋" w:cs="仿宋"/>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892"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上次审核不符合验证</w:t>
            </w:r>
          </w:p>
        </w:tc>
        <w:tc>
          <w:tcPr>
            <w:tcW w:w="1228" w:type="dxa"/>
            <w:vAlign w:val="top"/>
          </w:tcPr>
          <w:p>
            <w:pPr>
              <w:rPr>
                <w:rFonts w:hint="eastAsia" w:ascii="仿宋" w:hAnsi="仿宋" w:eastAsia="仿宋" w:cs="仿宋"/>
                <w:kern w:val="2"/>
                <w:sz w:val="24"/>
                <w:szCs w:val="24"/>
                <w:lang w:val="en-US" w:eastAsia="zh-CN" w:bidi="ar-SA"/>
              </w:rPr>
            </w:pPr>
          </w:p>
        </w:tc>
        <w:tc>
          <w:tcPr>
            <w:tcW w:w="10943" w:type="dxa"/>
            <w:vAlign w:val="top"/>
          </w:tcPr>
          <w:p>
            <w:pPr>
              <w:spacing w:line="360"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sz w:val="24"/>
                <w:szCs w:val="24"/>
              </w:rPr>
              <w:t>上次审核时发现的不符合，经现场验证已关闭，整改措施有效。</w:t>
            </w:r>
          </w:p>
        </w:tc>
        <w:tc>
          <w:tcPr>
            <w:tcW w:w="646" w:type="dxa"/>
            <w:vAlign w:val="center"/>
          </w:tcPr>
          <w:p>
            <w:pPr>
              <w:rPr>
                <w:rFonts w:hint="eastAsia" w:ascii="仿宋" w:hAnsi="仿宋" w:eastAsia="仿宋" w:cs="仿宋"/>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0" w:type="auto"/>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变更</w:t>
            </w:r>
          </w:p>
        </w:tc>
        <w:tc>
          <w:tcPr>
            <w:tcW w:w="0" w:type="auto"/>
            <w:vAlign w:val="top"/>
          </w:tcPr>
          <w:p>
            <w:pPr>
              <w:rPr>
                <w:rFonts w:hint="eastAsia" w:ascii="仿宋" w:hAnsi="仿宋" w:eastAsia="仿宋" w:cs="仿宋"/>
                <w:kern w:val="2"/>
                <w:sz w:val="24"/>
                <w:szCs w:val="24"/>
                <w:lang w:val="en-US" w:eastAsia="zh-CN" w:bidi="ar-SA"/>
              </w:rPr>
            </w:pPr>
          </w:p>
        </w:tc>
        <w:tc>
          <w:tcPr>
            <w:tcW w:w="0" w:type="auto"/>
            <w:vAlign w:val="top"/>
          </w:tcPr>
          <w:p>
            <w:pPr>
              <w:spacing w:line="360"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经营地址发生变更</w:t>
            </w:r>
          </w:p>
        </w:tc>
        <w:tc>
          <w:tcPr>
            <w:tcW w:w="0" w:type="auto"/>
          </w:tcPr>
          <w:p>
            <w:pPr>
              <w:rPr>
                <w:rFonts w:hint="eastAsia" w:ascii="仿宋" w:hAnsi="仿宋" w:eastAsia="仿宋" w:cs="仿宋"/>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0" w:type="auto"/>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证书和标志的使用</w:t>
            </w:r>
          </w:p>
        </w:tc>
        <w:tc>
          <w:tcPr>
            <w:tcW w:w="0" w:type="auto"/>
            <w:vAlign w:val="top"/>
          </w:tcPr>
          <w:p>
            <w:pPr>
              <w:rPr>
                <w:rFonts w:hint="eastAsia" w:ascii="仿宋" w:hAnsi="仿宋" w:eastAsia="仿宋" w:cs="仿宋"/>
                <w:kern w:val="2"/>
                <w:sz w:val="24"/>
                <w:szCs w:val="24"/>
                <w:lang w:val="en-US" w:eastAsia="zh-CN" w:bidi="ar-SA"/>
              </w:rPr>
            </w:pPr>
          </w:p>
        </w:tc>
        <w:tc>
          <w:tcPr>
            <w:tcW w:w="0" w:type="auto"/>
            <w:vAlign w:val="top"/>
          </w:tcPr>
          <w:p>
            <w:pPr>
              <w:spacing w:line="360"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sz w:val="24"/>
                <w:szCs w:val="24"/>
              </w:rPr>
              <w:t>证书在招投标和业务洽谈时出示认证证书，未使用认证标志</w:t>
            </w:r>
          </w:p>
        </w:tc>
        <w:tc>
          <w:tcPr>
            <w:tcW w:w="0" w:type="auto"/>
          </w:tcPr>
          <w:p>
            <w:pPr>
              <w:rPr>
                <w:rFonts w:hint="eastAsia" w:ascii="仿宋" w:hAnsi="仿宋" w:eastAsia="仿宋" w:cs="仿宋"/>
                <w:color w:val="000000" w:themeColor="text1"/>
                <w:sz w:val="24"/>
                <w:szCs w:val="24"/>
              </w:rPr>
            </w:pPr>
          </w:p>
        </w:tc>
      </w:tr>
    </w:tbl>
    <w:p>
      <w:pPr>
        <w:rPr>
          <w:rFonts w:ascii="楷体" w:hAnsi="楷体" w:eastAsia="楷体"/>
          <w:sz w:val="24"/>
          <w:szCs w:val="24"/>
        </w:rPr>
      </w:pPr>
    </w:p>
    <w:p>
      <w:pPr>
        <w:pStyle w:val="6"/>
        <w:rPr>
          <w:rFonts w:ascii="楷体" w:hAnsi="楷体" w:eastAsia="楷体"/>
          <w:sz w:val="24"/>
          <w:szCs w:val="24"/>
        </w:rPr>
      </w:pPr>
      <w:r>
        <w:rPr>
          <w:rFonts w:hint="eastAsia" w:ascii="楷体" w:hAnsi="楷体" w:eastAsia="楷体"/>
          <w:sz w:val="24"/>
          <w:szCs w:val="24"/>
        </w:rPr>
        <w:t>说明：不符合标注N</w:t>
      </w:r>
    </w:p>
    <w:p>
      <w:pPr>
        <w:pStyle w:val="6"/>
        <w:rPr>
          <w:rFonts w:ascii="楷体" w:hAnsi="楷体" w:eastAsia="楷体"/>
          <w:sz w:val="24"/>
          <w:szCs w:val="24"/>
        </w:rPr>
      </w:pPr>
    </w:p>
    <w:p>
      <w:pPr>
        <w:pStyle w:val="6"/>
        <w:rPr>
          <w:rFonts w:ascii="楷体" w:hAnsi="楷体" w:eastAsia="楷体"/>
          <w:sz w:val="24"/>
          <w:szCs w:val="24"/>
        </w:rPr>
      </w:pPr>
    </w:p>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7"/>
      <w:pBdr>
        <w:bottom w:val="none" w:color="auto" w:sz="0" w:space="0"/>
      </w:pBdr>
      <w:spacing w:line="320" w:lineRule="exact"/>
      <w:ind w:firstLine="756" w:firstLineChars="400"/>
      <w:jc w:val="left"/>
    </w:pPr>
    <w:r>
      <w:rPr>
        <w:rStyle w:val="13"/>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lkMDNiN2QzZTk4YTE3NjNiM2I5OTI4Y2YxNGYyZmIifQ=="/>
  </w:docVars>
  <w:rsids>
    <w:rsidRoot w:val="00000000"/>
    <w:rsid w:val="38435211"/>
    <w:rsid w:val="420941F8"/>
    <w:rsid w:val="46452166"/>
    <w:rsid w:val="6987611D"/>
    <w:rsid w:val="74DA78AE"/>
    <w:rsid w:val="7EB23D83"/>
    <w:rsid w:val="7F2D06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qFormat/>
    <w:uiPriority w:val="9"/>
    <w:pPr>
      <w:keepNext/>
      <w:tabs>
        <w:tab w:val="left" w:pos="3510"/>
        <w:tab w:val="left" w:pos="3585"/>
        <w:tab w:val="center" w:pos="4410"/>
        <w:tab w:val="left" w:pos="4620"/>
        <w:tab w:val="left" w:pos="4830"/>
        <w:tab w:val="left" w:pos="5580"/>
      </w:tabs>
      <w:outlineLvl w:val="1"/>
    </w:pPr>
    <w:rPr>
      <w:b/>
      <w:bCs/>
      <w:sz w:val="32"/>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ody Text"/>
    <w:basedOn w:val="1"/>
    <w:unhideWhenUsed/>
    <w:qFormat/>
    <w:uiPriority w:val="99"/>
    <w:pPr>
      <w:spacing w:line="420" w:lineRule="exact"/>
    </w:pPr>
    <w:rPr>
      <w:sz w:val="24"/>
    </w:rPr>
  </w:style>
  <w:style w:type="paragraph" w:styleId="5">
    <w:name w:val="Balloon Text"/>
    <w:basedOn w:val="1"/>
    <w:link w:val="12"/>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99"/>
    <w:rPr>
      <w:rFonts w:ascii="Times New Roman" w:hAnsi="Times New Roman" w:eastAsia="宋体" w:cs="Times New Roman"/>
      <w:sz w:val="18"/>
      <w:szCs w:val="18"/>
    </w:rPr>
  </w:style>
  <w:style w:type="character" w:customStyle="1" w:styleId="11">
    <w:name w:val="页脚 Char"/>
    <w:basedOn w:val="9"/>
    <w:link w:val="6"/>
    <w:qFormat/>
    <w:uiPriority w:val="99"/>
    <w:rPr>
      <w:rFonts w:ascii="Times New Roman" w:hAnsi="Times New Roman" w:eastAsia="宋体" w:cs="Times New Roman"/>
      <w:sz w:val="18"/>
      <w:szCs w:val="18"/>
    </w:rPr>
  </w:style>
  <w:style w:type="character" w:customStyle="1" w:styleId="12">
    <w:name w:val="批注框文本 Char"/>
    <w:basedOn w:val="9"/>
    <w:link w:val="5"/>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6308</Words>
  <Characters>6562</Characters>
  <Lines>1</Lines>
  <Paragraphs>1</Paragraphs>
  <TotalTime>0</TotalTime>
  <ScaleCrop>false</ScaleCrop>
  <LinksUpToDate>false</LinksUpToDate>
  <CharactersWithSpaces>6683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强子</cp:lastModifiedBy>
  <dcterms:modified xsi:type="dcterms:W3CDTF">2022-07-17T00:52:22Z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2052-11.1.0.11830</vt:lpwstr>
  </property>
</Properties>
</file>