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sz w:val="36"/>
          <w:szCs w:val="36"/>
        </w:rPr>
      </w:pPr>
      <w:r>
        <w:rPr>
          <w:rFonts w:hint="eastAsia" w:ascii="楷体" w:hAnsi="楷体" w:eastAsia="楷体"/>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367"/>
        <w:gridCol w:w="11097"/>
        <w:gridCol w:w="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68" w:type="dxa"/>
            <w:vMerge w:val="restart"/>
            <w:vAlign w:val="center"/>
          </w:tcPr>
          <w:p>
            <w:pPr>
              <w:spacing w:before="120"/>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过程与活动、</w:t>
            </w:r>
          </w:p>
          <w:p>
            <w:pPr>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抽样计划</w:t>
            </w:r>
          </w:p>
        </w:tc>
        <w:tc>
          <w:tcPr>
            <w:tcW w:w="1367" w:type="dxa"/>
            <w:vMerge w:val="restart"/>
            <w:vAlign w:val="center"/>
          </w:tcPr>
          <w:p>
            <w:pP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涉及</w:t>
            </w:r>
          </w:p>
          <w:p>
            <w:pP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条款</w:t>
            </w:r>
          </w:p>
        </w:tc>
        <w:tc>
          <w:tcPr>
            <w:tcW w:w="11097" w:type="dxa"/>
            <w:vAlign w:val="center"/>
          </w:tcPr>
          <w:p>
            <w:pPr>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rPr>
              <w:t>受审核部门：办公室          主管领导：</w:t>
            </w:r>
            <w:r>
              <w:rPr>
                <w:rFonts w:hint="eastAsia" w:ascii="仿宋" w:hAnsi="仿宋" w:eastAsia="仿宋" w:cs="仿宋"/>
                <w:sz w:val="24"/>
                <w:szCs w:val="24"/>
                <w:lang w:val="en-US" w:eastAsia="zh-CN"/>
              </w:rPr>
              <w:t>李美茹</w:t>
            </w:r>
            <w:r>
              <w:rPr>
                <w:rFonts w:hint="eastAsia" w:ascii="仿宋" w:hAnsi="仿宋" w:eastAsia="仿宋" w:cs="仿宋"/>
                <w:sz w:val="24"/>
                <w:szCs w:val="24"/>
              </w:rPr>
              <w:t xml:space="preserve">       陪同人员：</w:t>
            </w:r>
            <w:r>
              <w:rPr>
                <w:rFonts w:hint="eastAsia" w:ascii="仿宋" w:hAnsi="仿宋" w:eastAsia="仿宋" w:cs="仿宋"/>
                <w:sz w:val="24"/>
                <w:szCs w:val="24"/>
                <w:lang w:val="en-US" w:eastAsia="zh-CN"/>
              </w:rPr>
              <w:t>尹振江</w:t>
            </w:r>
          </w:p>
        </w:tc>
        <w:tc>
          <w:tcPr>
            <w:tcW w:w="577" w:type="dxa"/>
            <w:vMerge w:val="restart"/>
            <w:vAlign w:val="center"/>
          </w:tcPr>
          <w:p>
            <w:pP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8" w:hRule="atLeast"/>
        </w:trPr>
        <w:tc>
          <w:tcPr>
            <w:tcW w:w="1668" w:type="dxa"/>
            <w:vMerge w:val="continue"/>
            <w:vAlign w:val="center"/>
          </w:tcPr>
          <w:p>
            <w:pPr>
              <w:rPr>
                <w:rFonts w:hint="eastAsia" w:ascii="仿宋" w:hAnsi="仿宋" w:eastAsia="仿宋" w:cs="仿宋"/>
                <w:color w:val="000000" w:themeColor="text1"/>
                <w:sz w:val="24"/>
                <w:szCs w:val="24"/>
              </w:rPr>
            </w:pPr>
          </w:p>
        </w:tc>
        <w:tc>
          <w:tcPr>
            <w:tcW w:w="1367" w:type="dxa"/>
            <w:vMerge w:val="continue"/>
            <w:vAlign w:val="center"/>
          </w:tcPr>
          <w:p>
            <w:pPr>
              <w:rPr>
                <w:rFonts w:hint="eastAsia" w:ascii="仿宋" w:hAnsi="仿宋" w:eastAsia="仿宋" w:cs="仿宋"/>
                <w:color w:val="000000" w:themeColor="text1"/>
                <w:sz w:val="24"/>
                <w:szCs w:val="24"/>
              </w:rPr>
            </w:pPr>
          </w:p>
        </w:tc>
        <w:tc>
          <w:tcPr>
            <w:tcW w:w="11097"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审核员：</w:t>
            </w:r>
            <w:r>
              <w:rPr>
                <w:rFonts w:hint="eastAsia" w:ascii="仿宋" w:hAnsi="仿宋" w:eastAsia="仿宋" w:cs="仿宋"/>
                <w:sz w:val="24"/>
                <w:szCs w:val="24"/>
                <w:lang w:val="en-US" w:eastAsia="zh-CN"/>
              </w:rPr>
              <w:t>强兴</w:t>
            </w:r>
            <w:r>
              <w:rPr>
                <w:rFonts w:hint="eastAsia" w:ascii="仿宋" w:hAnsi="仿宋" w:eastAsia="仿宋" w:cs="仿宋"/>
                <w:sz w:val="24"/>
                <w:szCs w:val="24"/>
              </w:rPr>
              <w:t xml:space="preserve">            审核时间：202</w:t>
            </w:r>
            <w:r>
              <w:rPr>
                <w:rFonts w:hint="eastAsia" w:ascii="仿宋" w:hAnsi="仿宋" w:eastAsia="仿宋" w:cs="仿宋"/>
                <w:sz w:val="24"/>
                <w:szCs w:val="24"/>
                <w:lang w:val="en-US" w:eastAsia="zh-CN"/>
              </w:rPr>
              <w:t>2</w:t>
            </w:r>
            <w:r>
              <w:rPr>
                <w:rFonts w:hint="eastAsia" w:ascii="仿宋" w:hAnsi="仿宋" w:eastAsia="仿宋" w:cs="仿宋"/>
                <w:color w:val="000000" w:themeColor="text1"/>
                <w:sz w:val="24"/>
                <w:szCs w:val="24"/>
              </w:rPr>
              <w:t>年</w:t>
            </w:r>
            <w:r>
              <w:rPr>
                <w:rFonts w:hint="eastAsia" w:ascii="仿宋" w:hAnsi="仿宋" w:eastAsia="仿宋" w:cs="仿宋"/>
                <w:color w:val="000000" w:themeColor="text1"/>
                <w:sz w:val="24"/>
                <w:szCs w:val="24"/>
                <w:lang w:val="en-US" w:eastAsia="zh-CN"/>
              </w:rPr>
              <w:t>7</w:t>
            </w:r>
            <w:r>
              <w:rPr>
                <w:rFonts w:hint="eastAsia" w:ascii="仿宋" w:hAnsi="仿宋" w:eastAsia="仿宋" w:cs="仿宋"/>
                <w:color w:val="000000" w:themeColor="text1"/>
                <w:sz w:val="24"/>
                <w:szCs w:val="24"/>
              </w:rPr>
              <w:t>月</w:t>
            </w:r>
            <w:r>
              <w:rPr>
                <w:rFonts w:hint="eastAsia" w:ascii="仿宋" w:hAnsi="仿宋" w:eastAsia="仿宋" w:cs="仿宋"/>
                <w:color w:val="000000" w:themeColor="text1"/>
                <w:sz w:val="24"/>
                <w:szCs w:val="24"/>
                <w:lang w:val="en-US" w:eastAsia="zh-CN"/>
              </w:rPr>
              <w:t>1</w:t>
            </w:r>
            <w:r>
              <w:rPr>
                <w:rFonts w:hint="eastAsia" w:ascii="仿宋" w:hAnsi="仿宋" w:eastAsia="仿宋" w:cs="仿宋"/>
                <w:color w:val="000000" w:themeColor="text1"/>
                <w:sz w:val="24"/>
                <w:szCs w:val="24"/>
              </w:rPr>
              <w:t>日</w:t>
            </w:r>
          </w:p>
        </w:tc>
        <w:tc>
          <w:tcPr>
            <w:tcW w:w="577" w:type="dxa"/>
            <w:vMerge w:val="continue"/>
          </w:tcPr>
          <w:p>
            <w:pPr>
              <w:rPr>
                <w:rFonts w:hint="eastAsia" w:ascii="仿宋" w:hAnsi="仿宋" w:eastAsia="仿宋" w:cs="仿宋"/>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68" w:type="dxa"/>
            <w:vMerge w:val="continue"/>
            <w:vAlign w:val="center"/>
          </w:tcPr>
          <w:p>
            <w:pPr>
              <w:rPr>
                <w:rFonts w:hint="eastAsia" w:ascii="仿宋" w:hAnsi="仿宋" w:eastAsia="仿宋" w:cs="仿宋"/>
                <w:color w:val="000000" w:themeColor="text1"/>
                <w:sz w:val="24"/>
                <w:szCs w:val="24"/>
              </w:rPr>
            </w:pPr>
          </w:p>
        </w:tc>
        <w:tc>
          <w:tcPr>
            <w:tcW w:w="1367" w:type="dxa"/>
            <w:vMerge w:val="continue"/>
            <w:vAlign w:val="center"/>
          </w:tcPr>
          <w:p>
            <w:pPr>
              <w:rPr>
                <w:rFonts w:hint="eastAsia" w:ascii="仿宋" w:hAnsi="仿宋" w:eastAsia="仿宋" w:cs="仿宋"/>
                <w:color w:val="000000" w:themeColor="text1"/>
                <w:sz w:val="24"/>
                <w:szCs w:val="24"/>
              </w:rPr>
            </w:pPr>
          </w:p>
        </w:tc>
        <w:tc>
          <w:tcPr>
            <w:tcW w:w="11097" w:type="dxa"/>
            <w:vAlign w:val="center"/>
          </w:tcPr>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审核条款：</w:t>
            </w:r>
          </w:p>
          <w:p>
            <w:pPr>
              <w:snapToGrid w:val="0"/>
              <w:spacing w:line="360" w:lineRule="auto"/>
              <w:rPr>
                <w:rFonts w:hint="eastAsia" w:ascii="仿宋" w:hAnsi="仿宋" w:eastAsia="仿宋" w:cs="仿宋"/>
                <w:color w:val="000000" w:themeColor="text1"/>
                <w:sz w:val="24"/>
                <w:szCs w:val="24"/>
                <w:lang w:eastAsia="zh-CN"/>
              </w:rPr>
            </w:pPr>
            <w:r>
              <w:rPr>
                <w:rFonts w:hint="eastAsia" w:ascii="仿宋" w:hAnsi="仿宋" w:eastAsia="仿宋" w:cs="仿宋"/>
                <w:sz w:val="24"/>
                <w:szCs w:val="24"/>
              </w:rPr>
              <w:t>E/OHSMS: 5.3组织的岗位、职责和权限、6.1.2环境因素/危险源的辨识与评价、6.1.3合规义务</w:t>
            </w:r>
            <w:r>
              <w:rPr>
                <w:rFonts w:hint="eastAsia" w:ascii="仿宋" w:hAnsi="仿宋" w:eastAsia="仿宋" w:cs="仿宋"/>
                <w:sz w:val="24"/>
                <w:szCs w:val="24"/>
                <w:lang w:eastAsia="zh-CN"/>
              </w:rPr>
              <w:t>、</w:t>
            </w:r>
            <w:r>
              <w:rPr>
                <w:rFonts w:hint="eastAsia" w:ascii="仿宋" w:hAnsi="仿宋" w:eastAsia="仿宋" w:cs="仿宋"/>
                <w:sz w:val="24"/>
                <w:szCs w:val="24"/>
              </w:rPr>
              <w:t>6.2.1环境/职业健康安全目标、6.2.2实现环境/职业健康安全目标措施的策划、7.4沟通/信息交流、7.5.1形成文件的信息总则、7.5.2形成文件的信息的创建和更新、7.5.3形成文件的信息的控制、8.1运行策划和控制、、8.2应急准备和响应</w:t>
            </w:r>
            <w:r>
              <w:rPr>
                <w:rFonts w:hint="eastAsia" w:ascii="仿宋" w:hAnsi="仿宋" w:eastAsia="仿宋" w:cs="仿宋"/>
                <w:sz w:val="24"/>
                <w:szCs w:val="24"/>
                <w:lang w:eastAsia="zh-CN"/>
              </w:rPr>
              <w:t>、</w:t>
            </w:r>
            <w:r>
              <w:rPr>
                <w:rFonts w:hint="eastAsia" w:ascii="仿宋" w:hAnsi="仿宋" w:eastAsia="仿宋" w:cs="仿宋"/>
                <w:sz w:val="24"/>
                <w:szCs w:val="24"/>
              </w:rPr>
              <w:t>9.1监视、测量、分析和评价（9.1.1总则、9.1.2合规性评价）</w:t>
            </w:r>
            <w:r>
              <w:rPr>
                <w:rFonts w:hint="eastAsia" w:ascii="仿宋" w:hAnsi="仿宋" w:eastAsia="仿宋" w:cs="仿宋"/>
                <w:sz w:val="24"/>
                <w:szCs w:val="24"/>
                <w:lang w:eastAsia="zh-CN"/>
              </w:rPr>
              <w:t>、</w:t>
            </w:r>
            <w:r>
              <w:rPr>
                <w:rFonts w:hint="eastAsia" w:ascii="仿宋" w:hAnsi="仿宋" w:eastAsia="仿宋" w:cs="仿宋"/>
                <w:sz w:val="24"/>
                <w:szCs w:val="24"/>
              </w:rPr>
              <w:t>9.2 内部审核、10.2不符合/事件和纠正措施</w:t>
            </w:r>
            <w:r>
              <w:rPr>
                <w:rFonts w:hint="eastAsia" w:ascii="仿宋" w:hAnsi="仿宋" w:eastAsia="仿宋" w:cs="仿宋"/>
                <w:sz w:val="24"/>
                <w:szCs w:val="24"/>
                <w:lang w:eastAsia="zh-CN"/>
              </w:rPr>
              <w:t>。</w:t>
            </w:r>
            <w:r>
              <w:rPr>
                <w:rFonts w:hint="eastAsia" w:ascii="仿宋" w:hAnsi="仿宋" w:eastAsia="仿宋" w:cs="仿宋"/>
                <w:sz w:val="24"/>
                <w:szCs w:val="24"/>
                <w:lang w:val="de-DE"/>
              </w:rPr>
              <w:t>EMS</w:t>
            </w:r>
            <w:r>
              <w:rPr>
                <w:rFonts w:hint="eastAsia" w:ascii="仿宋" w:hAnsi="仿宋" w:eastAsia="仿宋" w:cs="仿宋"/>
                <w:sz w:val="24"/>
                <w:szCs w:val="24"/>
                <w:lang w:val="en-US" w:eastAsia="zh-CN"/>
              </w:rPr>
              <w:t>/OMS</w:t>
            </w:r>
            <w:r>
              <w:rPr>
                <w:rFonts w:hint="eastAsia" w:ascii="仿宋" w:hAnsi="仿宋" w:eastAsia="仿宋" w:cs="仿宋"/>
                <w:sz w:val="24"/>
                <w:szCs w:val="24"/>
              </w:rPr>
              <w:t>运行控制相关财务支出证据</w:t>
            </w:r>
            <w:r>
              <w:rPr>
                <w:rFonts w:hint="eastAsia" w:ascii="仿宋" w:hAnsi="仿宋" w:eastAsia="仿宋" w:cs="仿宋"/>
                <w:sz w:val="24"/>
                <w:szCs w:val="24"/>
                <w:lang w:val="en-US" w:eastAsia="zh-CN"/>
              </w:rPr>
              <w:t>；</w:t>
            </w:r>
          </w:p>
        </w:tc>
        <w:tc>
          <w:tcPr>
            <w:tcW w:w="577" w:type="dxa"/>
            <w:vMerge w:val="continue"/>
          </w:tcPr>
          <w:p>
            <w:pPr>
              <w:rPr>
                <w:rFonts w:hint="eastAsia" w:ascii="仿宋" w:hAnsi="仿宋" w:eastAsia="仿宋" w:cs="仿宋"/>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68" w:type="dxa"/>
            <w:vAlign w:val="center"/>
          </w:tcPr>
          <w:p>
            <w:pPr>
              <w:spacing w:line="360" w:lineRule="auto"/>
              <w:rPr>
                <w:rFonts w:hint="eastAsia" w:ascii="仿宋" w:hAnsi="仿宋" w:eastAsia="仿宋" w:cs="仿宋"/>
                <w:color w:val="000000" w:themeColor="text1"/>
                <w:sz w:val="24"/>
                <w:szCs w:val="24"/>
              </w:rPr>
            </w:pPr>
            <w:r>
              <w:rPr>
                <w:rFonts w:hint="eastAsia" w:ascii="仿宋" w:hAnsi="仿宋" w:eastAsia="仿宋" w:cs="仿宋"/>
                <w:sz w:val="24"/>
                <w:szCs w:val="24"/>
              </w:rPr>
              <w:t>组织的岗位、职责和权限</w:t>
            </w:r>
          </w:p>
        </w:tc>
        <w:tc>
          <w:tcPr>
            <w:tcW w:w="1367" w:type="dxa"/>
          </w:tcPr>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color w:val="000000" w:themeColor="text1"/>
                <w:sz w:val="24"/>
                <w:szCs w:val="24"/>
              </w:rPr>
            </w:pPr>
            <w:r>
              <w:rPr>
                <w:rFonts w:hint="eastAsia" w:ascii="仿宋" w:hAnsi="仿宋" w:eastAsia="仿宋" w:cs="仿宋"/>
                <w:sz w:val="24"/>
                <w:szCs w:val="24"/>
              </w:rPr>
              <w:t>EO：5.3</w:t>
            </w:r>
          </w:p>
        </w:tc>
        <w:tc>
          <w:tcPr>
            <w:tcW w:w="11097" w:type="dxa"/>
            <w:vAlign w:val="center"/>
          </w:tcPr>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部门负责人：</w:t>
            </w:r>
            <w:r>
              <w:rPr>
                <w:rFonts w:hint="eastAsia" w:ascii="仿宋" w:hAnsi="仿宋" w:eastAsia="仿宋" w:cs="仿宋"/>
                <w:sz w:val="24"/>
                <w:szCs w:val="24"/>
                <w:lang w:eastAsia="zh-CN"/>
              </w:rPr>
              <w:t>李美茹</w:t>
            </w:r>
            <w:r>
              <w:rPr>
                <w:rFonts w:hint="eastAsia" w:ascii="仿宋" w:hAnsi="仿宋" w:eastAsia="仿宋" w:cs="仿宋"/>
                <w:sz w:val="24"/>
                <w:szCs w:val="24"/>
              </w:rPr>
              <w:t>，</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询问主要职责：负责体系文件、资料和记录的管理，包括发放、保存等工作，并作好相关记录；协助管理者代表贯彻落实本公司管理方针和目标指标；负责制定培训计划并组织培训，建立职工教育档案；组织对本公司的环境因素/危险源进行识别/辨识和评价，确定重要环境因素和重大危险源；负责统筹本公司内、外部相关信息的传递、处理及内部沟通活动；制定内部审核计划，组织实施内部审核，并监督检查纠正措施的落实；负责筹备管理评审工作；负责本公司后勤的管理；负责管理体系绩效的监测和测量；负责法律、法规合规性评价；总经理的领导下为管理体系正常有效运行提供必要的资金保证及负责本公司财务的日常管理工作；</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部门职责清晰、明确。办公室负责人能基本阐述本部门的主要职责。</w:t>
            </w:r>
          </w:p>
        </w:tc>
        <w:tc>
          <w:tcPr>
            <w:tcW w:w="577" w:type="dxa"/>
          </w:tcPr>
          <w:p>
            <w:pPr>
              <w:rPr>
                <w:rFonts w:hint="default"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68" w:type="dxa"/>
            <w:vAlign w:val="center"/>
          </w:tcPr>
          <w:p>
            <w:pPr>
              <w:rPr>
                <w:rFonts w:hint="eastAsia" w:ascii="仿宋" w:hAnsi="仿宋" w:eastAsia="仿宋" w:cs="仿宋"/>
                <w:color w:val="000000" w:themeColor="text1"/>
                <w:sz w:val="24"/>
                <w:szCs w:val="24"/>
              </w:rPr>
            </w:pPr>
          </w:p>
          <w:p>
            <w:pP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目标、指标管理方案</w:t>
            </w:r>
          </w:p>
          <w:p>
            <w:pPr>
              <w:spacing w:line="360" w:lineRule="auto"/>
              <w:rPr>
                <w:rFonts w:hint="eastAsia" w:ascii="仿宋" w:hAnsi="仿宋" w:eastAsia="仿宋" w:cs="仿宋"/>
                <w:sz w:val="24"/>
                <w:szCs w:val="24"/>
              </w:rPr>
            </w:pPr>
          </w:p>
        </w:tc>
        <w:tc>
          <w:tcPr>
            <w:tcW w:w="1367" w:type="dxa"/>
          </w:tcPr>
          <w:p>
            <w:pPr>
              <w:snapToGrid w:val="0"/>
              <w:spacing w:line="360" w:lineRule="auto"/>
              <w:rPr>
                <w:rFonts w:hint="eastAsia" w:ascii="仿宋" w:hAnsi="仿宋" w:eastAsia="仿宋" w:cs="仿宋"/>
                <w:sz w:val="24"/>
                <w:szCs w:val="24"/>
              </w:rPr>
            </w:pPr>
          </w:p>
          <w:p>
            <w:pPr>
              <w:snapToGrid w:val="0"/>
              <w:spacing w:line="360" w:lineRule="auto"/>
              <w:rPr>
                <w:rFonts w:hint="eastAsia" w:ascii="仿宋" w:hAnsi="仿宋" w:eastAsia="仿宋" w:cs="仿宋"/>
                <w:sz w:val="24"/>
                <w:szCs w:val="24"/>
              </w:rPr>
            </w:pPr>
          </w:p>
          <w:p>
            <w:pPr>
              <w:snapToGrid w:val="0"/>
              <w:spacing w:line="360" w:lineRule="auto"/>
              <w:rPr>
                <w:rFonts w:hint="eastAsia" w:ascii="仿宋" w:hAnsi="仿宋" w:eastAsia="仿宋" w:cs="仿宋"/>
                <w:sz w:val="24"/>
                <w:szCs w:val="24"/>
              </w:rPr>
            </w:pPr>
          </w:p>
          <w:p>
            <w:pPr>
              <w:snapToGrid w:val="0"/>
              <w:spacing w:line="360" w:lineRule="auto"/>
              <w:rPr>
                <w:rFonts w:hint="eastAsia" w:ascii="仿宋" w:hAnsi="仿宋" w:eastAsia="仿宋" w:cs="仿宋"/>
                <w:sz w:val="24"/>
                <w:szCs w:val="24"/>
              </w:rPr>
            </w:pPr>
          </w:p>
          <w:p>
            <w:pPr>
              <w:snapToGrid w:val="0"/>
              <w:spacing w:line="360" w:lineRule="auto"/>
              <w:rPr>
                <w:rFonts w:hint="eastAsia" w:ascii="仿宋" w:hAnsi="仿宋" w:eastAsia="仿宋" w:cs="仿宋"/>
                <w:sz w:val="24"/>
                <w:szCs w:val="24"/>
              </w:rPr>
            </w:pPr>
          </w:p>
          <w:p>
            <w:pPr>
              <w:snapToGrid w:val="0"/>
              <w:spacing w:line="360" w:lineRule="auto"/>
              <w:rPr>
                <w:rFonts w:hint="eastAsia" w:ascii="仿宋" w:hAnsi="仿宋" w:eastAsia="仿宋" w:cs="仿宋"/>
                <w:sz w:val="24"/>
                <w:szCs w:val="24"/>
              </w:rPr>
            </w:pPr>
          </w:p>
          <w:p>
            <w:pPr>
              <w:snapToGrid w:val="0"/>
              <w:spacing w:line="360" w:lineRule="auto"/>
              <w:rPr>
                <w:rFonts w:hint="eastAsia" w:ascii="仿宋" w:hAnsi="仿宋" w:eastAsia="仿宋" w:cs="仿宋"/>
                <w:sz w:val="24"/>
                <w:szCs w:val="24"/>
              </w:rPr>
            </w:pPr>
          </w:p>
          <w:p>
            <w:pPr>
              <w:snapToGrid w:val="0"/>
              <w:spacing w:line="360" w:lineRule="auto"/>
              <w:rPr>
                <w:rFonts w:hint="eastAsia" w:ascii="仿宋" w:hAnsi="仿宋" w:eastAsia="仿宋" w:cs="仿宋"/>
                <w:sz w:val="24"/>
                <w:szCs w:val="24"/>
              </w:rPr>
            </w:pPr>
          </w:p>
          <w:p>
            <w:pPr>
              <w:snapToGrid w:val="0"/>
              <w:spacing w:line="360" w:lineRule="auto"/>
              <w:rPr>
                <w:rFonts w:hint="eastAsia" w:ascii="仿宋" w:hAnsi="仿宋" w:eastAsia="仿宋" w:cs="仿宋"/>
                <w:sz w:val="24"/>
                <w:szCs w:val="24"/>
              </w:rPr>
            </w:pPr>
          </w:p>
          <w:p>
            <w:pPr>
              <w:snapToGrid w:val="0"/>
              <w:spacing w:line="360" w:lineRule="auto"/>
              <w:rPr>
                <w:rFonts w:hint="eastAsia" w:ascii="仿宋" w:hAnsi="仿宋" w:eastAsia="仿宋" w:cs="仿宋"/>
                <w:sz w:val="24"/>
                <w:szCs w:val="24"/>
              </w:rPr>
            </w:pPr>
          </w:p>
          <w:p>
            <w:pPr>
              <w:snapToGrid w:val="0"/>
              <w:spacing w:line="360" w:lineRule="auto"/>
              <w:rPr>
                <w:rFonts w:hint="eastAsia" w:ascii="仿宋" w:hAnsi="仿宋" w:eastAsia="仿宋" w:cs="仿宋"/>
                <w:sz w:val="24"/>
                <w:szCs w:val="24"/>
              </w:rPr>
            </w:pPr>
          </w:p>
          <w:p>
            <w:pPr>
              <w:snapToGrid w:val="0"/>
              <w:spacing w:line="360" w:lineRule="auto"/>
              <w:rPr>
                <w:rFonts w:hint="eastAsia" w:ascii="仿宋" w:hAnsi="仿宋" w:eastAsia="仿宋" w:cs="仿宋"/>
                <w:sz w:val="24"/>
                <w:szCs w:val="24"/>
              </w:rPr>
            </w:pP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EO：6.2</w:t>
            </w:r>
          </w:p>
        </w:tc>
        <w:tc>
          <w:tcPr>
            <w:tcW w:w="11097" w:type="dxa"/>
          </w:tcPr>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公司将环境、职业健康安全目标分解到各个部门，</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办公室的目标及 202</w:t>
            </w:r>
            <w:r>
              <w:rPr>
                <w:rFonts w:hint="eastAsia" w:ascii="仿宋" w:hAnsi="仿宋" w:eastAsia="仿宋" w:cs="仿宋"/>
                <w:sz w:val="24"/>
                <w:szCs w:val="24"/>
                <w:lang w:val="en-US" w:eastAsia="zh-CN"/>
              </w:rPr>
              <w:t>2</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30日</w:t>
            </w:r>
            <w:r>
              <w:rPr>
                <w:rFonts w:hint="eastAsia" w:ascii="仿宋" w:hAnsi="仿宋" w:eastAsia="仿宋" w:cs="仿宋"/>
                <w:sz w:val="24"/>
                <w:szCs w:val="24"/>
              </w:rPr>
              <w:t>考核情况，已完成。</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查到公司制定的202</w:t>
            </w:r>
            <w:r>
              <w:rPr>
                <w:rFonts w:hint="eastAsia" w:ascii="仿宋" w:hAnsi="仿宋" w:eastAsia="仿宋" w:cs="仿宋"/>
                <w:sz w:val="24"/>
                <w:szCs w:val="24"/>
                <w:lang w:val="en-US" w:eastAsia="zh-CN"/>
              </w:rPr>
              <w:t>2</w:t>
            </w:r>
            <w:r>
              <w:rPr>
                <w:rFonts w:hint="eastAsia" w:ascii="仿宋" w:hAnsi="仿宋" w:eastAsia="仿宋" w:cs="仿宋"/>
                <w:sz w:val="24"/>
                <w:szCs w:val="24"/>
              </w:rPr>
              <w:t>年度“管理方案”，</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抽查1）杜绝火灾管理方案，</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管理目标：杜绝火灾事故发生，</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管理组织及职责：规定了总经理及各部门负责人及工作人员的职责及控制方法，费用预算、完成时间。</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主要措施：制定、执行严格的安全管理制度，竖立正确的安全观念意识，配备合格安全灭火用品，进行严密的过程监控。火灾涉及作业内容：主要有仓库、办公区。组织现场员工，竖立正确的安全意识，坚持开展安全生产例会，组织员工利用业余时间学习相关法律法规、安全常识。作业前生产人员应认真检查设备、灭火器材的完好性，在做好自身检查后，还应做到互相检查；对违反操作规程、安全防护设施不全或不符合要求时，操作人员有权拒绝作业，并上报安全员或相关人员。</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抽查2）杜绝人身伤亡事故管理方案，</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管理目标：杜绝人身伤亡事故，</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管理组织及职责：规定了总经理及各部门负责人及工作人员的职责及控制方法、完成时间。</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主要措施：制定、执行严格的安全管理制度，竖立正确的安全观念意识，进行严密的过程监控。涉及活动:装卸过程。组织现场员工，竖立正确的安全意识，坚持开展安全生产例会，组织员工利用业余时间学习相关法律法规、安全常识。作业前生产人员应认真检查设备,在做好自身检查后，还应做到互相检查；对违反操作规程、安全防护设施不全或不符合要求时，操作人员有权拒绝作业，并上报安全员或相关人员。</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管理方案由责任部门组织实施。</w:t>
            </w:r>
          </w:p>
        </w:tc>
        <w:tc>
          <w:tcPr>
            <w:tcW w:w="577" w:type="dxa"/>
          </w:tcPr>
          <w:p>
            <w:pP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trPr>
        <w:tc>
          <w:tcPr>
            <w:tcW w:w="1668" w:type="dxa"/>
            <w:vAlign w:val="center"/>
          </w:tcPr>
          <w:p>
            <w:pPr>
              <w:rPr>
                <w:rFonts w:hint="eastAsia" w:ascii="仿宋" w:hAnsi="仿宋" w:eastAsia="仿宋" w:cs="仿宋"/>
                <w:color w:val="000000" w:themeColor="text1"/>
                <w:sz w:val="24"/>
                <w:szCs w:val="24"/>
              </w:rPr>
            </w:pPr>
          </w:p>
          <w:p>
            <w:pPr>
              <w:rPr>
                <w:rFonts w:hint="eastAsia" w:ascii="仿宋" w:hAnsi="仿宋" w:eastAsia="仿宋" w:cs="仿宋"/>
                <w:color w:val="000000" w:themeColor="text1"/>
                <w:sz w:val="24"/>
                <w:szCs w:val="24"/>
              </w:rPr>
            </w:pPr>
          </w:p>
          <w:p>
            <w:pPr>
              <w:rPr>
                <w:rFonts w:hint="eastAsia" w:ascii="仿宋" w:hAnsi="仿宋" w:eastAsia="仿宋" w:cs="仿宋"/>
                <w:color w:val="000000" w:themeColor="text1"/>
                <w:sz w:val="24"/>
                <w:szCs w:val="24"/>
              </w:rPr>
            </w:pPr>
          </w:p>
          <w:p>
            <w:pP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信息交流、沟通、</w:t>
            </w:r>
          </w:p>
          <w:p>
            <w:pPr>
              <w:rPr>
                <w:rFonts w:hint="eastAsia" w:ascii="仿宋" w:hAnsi="仿宋" w:eastAsia="仿宋" w:cs="仿宋"/>
                <w:color w:val="000000" w:themeColor="text1"/>
                <w:kern w:val="2"/>
                <w:sz w:val="24"/>
                <w:szCs w:val="24"/>
                <w:lang w:val="en-US" w:eastAsia="zh-CN" w:bidi="ar-SA"/>
              </w:rPr>
            </w:pPr>
          </w:p>
        </w:tc>
        <w:tc>
          <w:tcPr>
            <w:tcW w:w="1367" w:type="dxa"/>
            <w:vAlign w:val="center"/>
          </w:tcPr>
          <w:p>
            <w:pPr>
              <w:spacing w:line="360" w:lineRule="auto"/>
              <w:ind w:firstLine="480" w:firstLineChars="200"/>
              <w:rPr>
                <w:rFonts w:hint="eastAsia" w:ascii="仿宋" w:hAnsi="仿宋" w:eastAsia="仿宋" w:cs="仿宋"/>
                <w:color w:val="000000" w:themeColor="text1"/>
                <w:sz w:val="24"/>
                <w:szCs w:val="24"/>
              </w:rPr>
            </w:pPr>
          </w:p>
          <w:p>
            <w:pPr>
              <w:spacing w:line="360" w:lineRule="auto"/>
              <w:ind w:firstLine="480" w:firstLineChars="200"/>
              <w:rPr>
                <w:rFonts w:hint="eastAsia" w:ascii="仿宋" w:hAnsi="仿宋" w:eastAsia="仿宋" w:cs="仿宋"/>
                <w:color w:val="000000" w:themeColor="text1"/>
                <w:sz w:val="24"/>
                <w:szCs w:val="24"/>
              </w:rPr>
            </w:pPr>
          </w:p>
          <w:p>
            <w:pPr>
              <w:spacing w:line="360" w:lineRule="auto"/>
              <w:ind w:firstLine="480" w:firstLineChars="200"/>
              <w:rPr>
                <w:rFonts w:hint="eastAsia" w:ascii="仿宋" w:hAnsi="仿宋" w:eastAsia="仿宋" w:cs="仿宋"/>
                <w:color w:val="000000" w:themeColor="text1"/>
                <w:sz w:val="24"/>
                <w:szCs w:val="24"/>
              </w:rPr>
            </w:pPr>
          </w:p>
          <w:p>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 xml:space="preserve">EO：7.4  </w:t>
            </w:r>
          </w:p>
          <w:p>
            <w:pPr>
              <w:spacing w:line="360" w:lineRule="auto"/>
              <w:rPr>
                <w:rFonts w:hint="eastAsia" w:ascii="仿宋" w:hAnsi="仿宋" w:eastAsia="仿宋" w:cs="仿宋"/>
                <w:color w:val="000000" w:themeColor="text1"/>
                <w:kern w:val="2"/>
                <w:sz w:val="24"/>
                <w:szCs w:val="24"/>
                <w:lang w:val="en-US" w:eastAsia="zh-CN" w:bidi="ar-SA"/>
              </w:rPr>
            </w:pPr>
          </w:p>
        </w:tc>
        <w:tc>
          <w:tcPr>
            <w:tcW w:w="11097" w:type="dxa"/>
            <w:vAlign w:val="center"/>
          </w:tcPr>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编制了《RX/QES-CX-11-2020</w:t>
            </w:r>
            <w:r>
              <w:rPr>
                <w:rFonts w:hint="eastAsia" w:ascii="仿宋" w:hAnsi="仿宋" w:eastAsia="仿宋" w:cs="仿宋"/>
                <w:color w:val="000000" w:themeColor="text1"/>
                <w:sz w:val="24"/>
                <w:szCs w:val="24"/>
              </w:rPr>
              <w:tab/>
            </w:r>
            <w:r>
              <w:rPr>
                <w:rFonts w:hint="eastAsia" w:ascii="仿宋" w:hAnsi="仿宋" w:eastAsia="仿宋" w:cs="仿宋"/>
                <w:color w:val="000000" w:themeColor="text1"/>
                <w:sz w:val="24"/>
                <w:szCs w:val="24"/>
              </w:rPr>
              <w:t>沟通控制程序》，规定：组织在各部门之间建立了与体系有关的信息通渠沟道，借助于会议、电话、口头交流等方式使全体员工达到沟通和理解。目前各部门协调一致，工作上的借口基本理顺。</w:t>
            </w:r>
          </w:p>
          <w:p>
            <w:pPr>
              <w:tabs>
                <w:tab w:val="left" w:pos="9720"/>
                <w:tab w:val="left" w:pos="9900"/>
              </w:tabs>
              <w:spacing w:before="62" w:beforeLines="20" w:after="62" w:afterLines="20"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 xml:space="preserve">总经理王梦思定期主持经营办公例会，分析公司的发展、市场情况和体系运行是否有效，管理目标完成情况，满足顾客要求和法规程度，改进建议等内部管理存在问题等。  </w:t>
            </w:r>
          </w:p>
          <w:p>
            <w:pPr>
              <w:spacing w:line="360" w:lineRule="auto"/>
              <w:ind w:firstLine="480" w:firstLineChars="200"/>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查证了以下证据、确定员工参与和协商的方式：</w:t>
            </w:r>
          </w:p>
          <w:p>
            <w:pPr>
              <w:spacing w:line="360" w:lineRule="auto"/>
              <w:ind w:firstLine="480" w:firstLineChars="200"/>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1.为参与和协商提供所需的机制、时间、培训和资源包括——设立了员工代表（尹忠广）、提供时间、培训、人力物力财力等资源。</w:t>
            </w:r>
          </w:p>
          <w:p>
            <w:pPr>
              <w:spacing w:line="360" w:lineRule="auto"/>
              <w:ind w:firstLine="480" w:firstLineChars="200"/>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2.及时提供获取清晰的，易于理解的有关职业健康安全管理体系相关的信息的渠道——设立意见建议箱、提供公司内部邮件处理系统并及时反馈；</w:t>
            </w:r>
          </w:p>
          <w:p>
            <w:pPr>
              <w:spacing w:line="360" w:lineRule="auto"/>
              <w:ind w:firstLine="480" w:firstLineChars="200"/>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3.另经询问得知：不存在包括对工作人员的意见或建议未作出响应,语言或文字障碍、报复或者报复性的威胁、以及防碍或不利于员工参与的制度或实践的障碍和屏障，现场也未发现类似情况的发生。</w:t>
            </w:r>
          </w:p>
          <w:p>
            <w:pPr>
              <w:spacing w:line="360" w:lineRule="auto"/>
              <w:ind w:firstLine="480" w:firstLineChars="200"/>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 xml:space="preserve">4.在下述方面强调非管理岗位员工的协商：确定相关方的需求和期望；制定职业健康安全方针；适用时，分配组织的角色、职责和权限；确定如何履行法律法规要求和其他要求；制定职业健康安全目标和实现目标的策划；对外包、采购和承包商确定适用的的控制；确定需要监视、测量和评价的内容等； </w:t>
            </w:r>
          </w:p>
          <w:p>
            <w:pPr>
              <w:spacing w:line="360" w:lineRule="auto"/>
              <w:ind w:firstLine="480" w:firstLineChars="200"/>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5.在下述方面强调非管理岗位员工的参与：确定使他们参与和协商的机制；辨识危险源及评价风险和机遇；</w:t>
            </w:r>
          </w:p>
          <w:p>
            <w:pPr>
              <w:spacing w:line="360" w:lineRule="auto"/>
              <w:ind w:firstLine="480" w:firstLineChars="200"/>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确定消除危险源以及降低职业健康安全风险的措施 ；确定能力要求、培训需求、培训以及对培训进行评价；</w:t>
            </w:r>
          </w:p>
          <w:p>
            <w:pPr>
              <w:spacing w:line="360" w:lineRule="auto"/>
              <w:ind w:firstLine="480" w:firstLineChars="200"/>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确定需要沟通的内容以及如何进行沟通 ；确定控制措施以及这些措施的有效实施和应用 ；对事件和不符合进行调查以及确定纠正措施 。</w:t>
            </w:r>
          </w:p>
          <w:p>
            <w:pPr>
              <w:spacing w:line="360" w:lineRule="auto"/>
              <w:ind w:firstLine="480" w:firstLineChars="200"/>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6.另根据安全生产法相关内容要求参与和协商：</w:t>
            </w:r>
          </w:p>
          <w:p>
            <w:pPr>
              <w:spacing w:line="360" w:lineRule="auto"/>
              <w:ind w:firstLine="480" w:firstLineChars="200"/>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内部协商和参与：适当参与危险源辨识、风险评估、控制措施的确定的、适当参与事件调查的；参与职业健康方针和目标制定和评审；对影响他们职业健康安全的任何变化进行协商；对职业健康安全事物发表意见的；</w:t>
            </w:r>
          </w:p>
          <w:p>
            <w:pPr>
              <w:tabs>
                <w:tab w:val="left" w:pos="9720"/>
                <w:tab w:val="left" w:pos="9900"/>
              </w:tabs>
              <w:spacing w:before="62" w:beforeLines="20" w:after="62" w:afterLines="20"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与承包方的协商：新的或不熟悉的危险源、新的或改进的控制措施；材料、设备、有害暴露等的变化；应急安排的变化；法律法规和其他要求的变化等；。</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现场查见会议记录、培训记录、文件签收等组织内部培训方式相关记录。</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办公室是内外部信息交流的中心，通过会议、邮件、培训等形式进行内部交流，向外部接收各种文件传递各种报表，外部沟通联络的部门有环保部门、劳动部门、消防安全部门、质监部门、安监部门及合同方等。</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经交流：目前与环保、劳动、消防、安监部门的信息交流主要是参加会议、接收来文、电话、邮件等，均按要求予以传达和落实，沟通情况较好。</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相关人员能够适当参与并协商办理公司经营管理及安全事务等工作。</w:t>
            </w:r>
          </w:p>
          <w:p>
            <w:pPr>
              <w:tabs>
                <w:tab w:val="left" w:pos="9720"/>
                <w:tab w:val="left" w:pos="9900"/>
              </w:tabs>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公司经选举确定职业健康安全事务代表是尹忠广。</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1）参与公司管理方针与目标的制定，及管理体系的策划。</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2）参加管理评审，就公司管理体系的绩效、管理方针与目标的实施进行评价。</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3）参与讨论、评议公司拟实施的任何影响作业人员职业健康安全的变更决定。</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4）参与重大事故的调查、分析和处理。</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5）接受员工对管理体系的改进意见和建议，并与有关部门进行沟通，协商解决和处理由于公司福利待遇正常发放，员工无抱怨，目前信息交流机制畅通。</w:t>
            </w:r>
          </w:p>
          <w:p>
            <w:pPr>
              <w:spacing w:line="360" w:lineRule="auto"/>
              <w:ind w:firstLine="480" w:firstLineChars="20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现有的沟通渠道和方法能满足要求。审核中未发现因沟通不利不及时而造成（影响）某项工作不能正常运行的情况。</w:t>
            </w:r>
          </w:p>
        </w:tc>
        <w:tc>
          <w:tcPr>
            <w:tcW w:w="577" w:type="dxa"/>
          </w:tcPr>
          <w:p>
            <w:pP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trPr>
        <w:tc>
          <w:tcPr>
            <w:tcW w:w="1668" w:type="dxa"/>
          </w:tcPr>
          <w:p>
            <w:pPr>
              <w:tabs>
                <w:tab w:val="center" w:pos="3169"/>
              </w:tabs>
              <w:spacing w:line="400" w:lineRule="exact"/>
              <w:ind w:firstLine="480" w:firstLineChars="200"/>
              <w:jc w:val="left"/>
              <w:rPr>
                <w:rFonts w:hint="eastAsia" w:ascii="仿宋" w:hAnsi="仿宋" w:eastAsia="仿宋" w:cs="仿宋"/>
                <w:sz w:val="24"/>
                <w:szCs w:val="24"/>
              </w:rPr>
            </w:pPr>
          </w:p>
          <w:p>
            <w:pPr>
              <w:pStyle w:val="4"/>
              <w:rPr>
                <w:rFonts w:hint="eastAsia" w:ascii="仿宋" w:hAnsi="仿宋" w:eastAsia="仿宋" w:cs="仿宋"/>
                <w:kern w:val="2"/>
                <w:sz w:val="24"/>
                <w:szCs w:val="24"/>
                <w:lang w:bidi="ar"/>
              </w:rPr>
            </w:pPr>
          </w:p>
          <w:p>
            <w:pPr>
              <w:pStyle w:val="4"/>
              <w:rPr>
                <w:rFonts w:hint="eastAsia" w:ascii="仿宋" w:hAnsi="仿宋" w:eastAsia="仿宋" w:cs="仿宋"/>
                <w:kern w:val="2"/>
                <w:sz w:val="24"/>
                <w:szCs w:val="24"/>
                <w:lang w:bidi="ar"/>
              </w:rPr>
            </w:pPr>
          </w:p>
          <w:p>
            <w:pPr>
              <w:pStyle w:val="4"/>
              <w:rPr>
                <w:rFonts w:hint="eastAsia" w:ascii="仿宋" w:hAnsi="仿宋" w:eastAsia="仿宋" w:cs="仿宋"/>
                <w:kern w:val="2"/>
                <w:sz w:val="24"/>
                <w:szCs w:val="24"/>
                <w:lang w:bidi="ar"/>
              </w:rPr>
            </w:pPr>
          </w:p>
          <w:p>
            <w:pPr>
              <w:pStyle w:val="3"/>
              <w:rPr>
                <w:rFonts w:hint="eastAsia" w:ascii="仿宋" w:hAnsi="仿宋" w:eastAsia="仿宋" w:cs="仿宋"/>
                <w:sz w:val="24"/>
                <w:szCs w:val="24"/>
              </w:rPr>
            </w:pPr>
            <w:r>
              <w:rPr>
                <w:rFonts w:hint="eastAsia" w:ascii="仿宋" w:hAnsi="仿宋" w:eastAsia="仿宋" w:cs="仿宋"/>
                <w:b w:val="0"/>
                <w:bCs w:val="0"/>
                <w:sz w:val="24"/>
                <w:szCs w:val="24"/>
                <w:lang w:bidi="ar"/>
              </w:rPr>
              <w:t>成文信息</w:t>
            </w:r>
          </w:p>
        </w:tc>
        <w:tc>
          <w:tcPr>
            <w:tcW w:w="1367" w:type="dxa"/>
          </w:tcPr>
          <w:p>
            <w:pPr>
              <w:tabs>
                <w:tab w:val="center" w:pos="3169"/>
              </w:tabs>
              <w:spacing w:line="360" w:lineRule="auto"/>
              <w:jc w:val="left"/>
              <w:rPr>
                <w:rFonts w:hint="eastAsia" w:ascii="仿宋" w:hAnsi="仿宋" w:eastAsia="仿宋" w:cs="仿宋"/>
                <w:sz w:val="24"/>
                <w:szCs w:val="24"/>
              </w:rPr>
            </w:pPr>
          </w:p>
          <w:p>
            <w:pPr>
              <w:pStyle w:val="4"/>
              <w:spacing w:line="360" w:lineRule="auto"/>
              <w:rPr>
                <w:rFonts w:hint="eastAsia" w:ascii="仿宋" w:hAnsi="仿宋" w:eastAsia="仿宋" w:cs="仿宋"/>
                <w:sz w:val="24"/>
                <w:szCs w:val="24"/>
              </w:rPr>
            </w:pPr>
          </w:p>
          <w:p>
            <w:pPr>
              <w:tabs>
                <w:tab w:val="center" w:pos="3169"/>
              </w:tabs>
              <w:spacing w:line="360" w:lineRule="auto"/>
              <w:jc w:val="left"/>
              <w:rPr>
                <w:rFonts w:hint="eastAsia" w:ascii="仿宋" w:hAnsi="仿宋" w:eastAsia="仿宋" w:cs="仿宋"/>
                <w:sz w:val="24"/>
                <w:szCs w:val="24"/>
                <w:lang w:bidi="ar"/>
              </w:rPr>
            </w:pPr>
            <w:r>
              <w:rPr>
                <w:rFonts w:hint="eastAsia" w:ascii="仿宋" w:hAnsi="仿宋" w:eastAsia="仿宋" w:cs="仿宋"/>
                <w:sz w:val="24"/>
                <w:szCs w:val="24"/>
                <w:lang w:bidi="ar"/>
              </w:rPr>
              <w:t xml:space="preserve">EO：7.5 </w:t>
            </w:r>
          </w:p>
          <w:p>
            <w:pPr>
              <w:pStyle w:val="4"/>
              <w:spacing w:line="360" w:lineRule="auto"/>
              <w:ind w:left="0"/>
              <w:rPr>
                <w:rFonts w:hint="eastAsia" w:ascii="仿宋" w:hAnsi="仿宋" w:eastAsia="仿宋" w:cs="仿宋"/>
                <w:sz w:val="24"/>
                <w:szCs w:val="24"/>
              </w:rPr>
            </w:pPr>
          </w:p>
        </w:tc>
        <w:tc>
          <w:tcPr>
            <w:tcW w:w="11097" w:type="dxa"/>
          </w:tcPr>
          <w:p>
            <w:pPr>
              <w:tabs>
                <w:tab w:val="center" w:pos="3169"/>
              </w:tabs>
              <w:spacing w:line="360" w:lineRule="auto"/>
              <w:ind w:firstLine="480" w:firstLineChars="200"/>
              <w:jc w:val="left"/>
              <w:rPr>
                <w:rFonts w:hint="eastAsia" w:ascii="仿宋" w:hAnsi="仿宋" w:eastAsia="仿宋" w:cs="仿宋"/>
                <w:sz w:val="24"/>
                <w:szCs w:val="24"/>
                <w:lang w:bidi="ar"/>
              </w:rPr>
            </w:pPr>
            <w:r>
              <w:rPr>
                <w:rFonts w:hint="eastAsia" w:ascii="仿宋" w:hAnsi="仿宋" w:eastAsia="仿宋" w:cs="仿宋"/>
                <w:sz w:val="24"/>
                <w:szCs w:val="24"/>
              </w:rPr>
              <w:t>公司编制了《</w:t>
            </w:r>
            <w:r>
              <w:rPr>
                <w:rFonts w:hint="eastAsia" w:ascii="仿宋" w:hAnsi="仿宋" w:eastAsia="仿宋" w:cs="仿宋"/>
                <w:sz w:val="24"/>
                <w:szCs w:val="24"/>
                <w:lang w:bidi="ar"/>
              </w:rPr>
              <w:t>RX/QES-CX-12-2020</w:t>
            </w:r>
            <w:r>
              <w:rPr>
                <w:rFonts w:hint="eastAsia" w:ascii="仿宋" w:hAnsi="仿宋" w:eastAsia="仿宋" w:cs="仿宋"/>
                <w:sz w:val="24"/>
                <w:szCs w:val="24"/>
                <w:lang w:bidi="ar"/>
              </w:rPr>
              <w:tab/>
            </w:r>
            <w:r>
              <w:rPr>
                <w:rFonts w:hint="eastAsia" w:ascii="仿宋" w:hAnsi="仿宋" w:eastAsia="仿宋" w:cs="仿宋"/>
                <w:sz w:val="24"/>
                <w:szCs w:val="24"/>
                <w:lang w:bidi="ar"/>
              </w:rPr>
              <w:t>文件和记录控制程序》，体系文件生效实施日期为2020年1月10日，文件规定了质量、环境和安全职业健康文件的编制、审批、评审、编号、回收、发放、更改、换版、作废等的管理和控制。</w:t>
            </w:r>
          </w:p>
          <w:p>
            <w:pPr>
              <w:tabs>
                <w:tab w:val="center" w:pos="3169"/>
              </w:tabs>
              <w:spacing w:line="360" w:lineRule="auto"/>
              <w:ind w:firstLine="480" w:firstLineChars="200"/>
              <w:jc w:val="left"/>
              <w:rPr>
                <w:rFonts w:hint="eastAsia" w:ascii="仿宋" w:hAnsi="仿宋" w:eastAsia="仿宋" w:cs="仿宋"/>
                <w:sz w:val="24"/>
                <w:szCs w:val="24"/>
                <w:lang w:bidi="ar"/>
              </w:rPr>
            </w:pPr>
            <w:r>
              <w:rPr>
                <w:rFonts w:hint="eastAsia" w:ascii="仿宋" w:hAnsi="仿宋" w:eastAsia="仿宋" w:cs="仿宋"/>
                <w:sz w:val="24"/>
                <w:szCs w:val="24"/>
                <w:lang w:bidi="ar"/>
              </w:rPr>
              <w:t>查受控文件，包括管理手册RX/QES—SC—2020  B0版、程序文件，另有公司制定的检验标准、作业指导书等作业文件。</w:t>
            </w:r>
          </w:p>
          <w:p>
            <w:pPr>
              <w:tabs>
                <w:tab w:val="center" w:pos="3169"/>
              </w:tabs>
              <w:spacing w:line="360" w:lineRule="auto"/>
              <w:ind w:firstLine="480" w:firstLineChars="200"/>
              <w:jc w:val="left"/>
              <w:rPr>
                <w:rFonts w:hint="eastAsia" w:ascii="仿宋" w:hAnsi="仿宋" w:eastAsia="仿宋" w:cs="仿宋"/>
                <w:sz w:val="24"/>
                <w:szCs w:val="24"/>
                <w:lang w:bidi="ar"/>
              </w:rPr>
            </w:pPr>
            <w:r>
              <w:rPr>
                <w:rFonts w:hint="eastAsia" w:ascii="仿宋" w:hAnsi="仿宋" w:eastAsia="仿宋" w:cs="仿宋"/>
                <w:sz w:val="24"/>
                <w:szCs w:val="24"/>
                <w:lang w:bidi="ar"/>
              </w:rPr>
              <w:t>抽查文件发放情况，有收文、发文的确认签字，符合文件发放规定。</w:t>
            </w:r>
          </w:p>
          <w:p>
            <w:pPr>
              <w:tabs>
                <w:tab w:val="center" w:pos="3169"/>
              </w:tabs>
              <w:spacing w:line="360" w:lineRule="auto"/>
              <w:ind w:firstLine="480" w:firstLineChars="200"/>
              <w:jc w:val="left"/>
              <w:rPr>
                <w:rFonts w:hint="eastAsia" w:ascii="仿宋" w:hAnsi="仿宋" w:eastAsia="仿宋" w:cs="仿宋"/>
                <w:sz w:val="24"/>
                <w:szCs w:val="24"/>
                <w:lang w:bidi="ar"/>
              </w:rPr>
            </w:pPr>
            <w:r>
              <w:rPr>
                <w:rFonts w:hint="eastAsia" w:ascii="仿宋" w:hAnsi="仿宋" w:eastAsia="仿宋" w:cs="仿宋"/>
                <w:sz w:val="24"/>
                <w:szCs w:val="24"/>
                <w:lang w:bidi="ar"/>
              </w:rPr>
              <w:t>查：外来文件，提供了法律法规清单。</w:t>
            </w:r>
          </w:p>
          <w:p>
            <w:pPr>
              <w:tabs>
                <w:tab w:val="center" w:pos="3169"/>
              </w:tabs>
              <w:spacing w:line="360" w:lineRule="auto"/>
              <w:ind w:firstLine="480" w:firstLineChars="200"/>
              <w:jc w:val="left"/>
              <w:rPr>
                <w:rFonts w:hint="eastAsia" w:ascii="仿宋" w:hAnsi="仿宋" w:eastAsia="仿宋" w:cs="仿宋"/>
                <w:sz w:val="24"/>
                <w:szCs w:val="24"/>
                <w:lang w:bidi="ar"/>
              </w:rPr>
            </w:pPr>
            <w:r>
              <w:rPr>
                <w:rFonts w:hint="eastAsia" w:ascii="仿宋" w:hAnsi="仿宋" w:eastAsia="仿宋" w:cs="仿宋"/>
                <w:sz w:val="24"/>
                <w:szCs w:val="24"/>
                <w:lang w:bidi="ar"/>
              </w:rPr>
              <w:t>文件资料基本满足岗位工作需要，并为现行有效版本。</w:t>
            </w:r>
          </w:p>
          <w:p>
            <w:pPr>
              <w:tabs>
                <w:tab w:val="center" w:pos="3169"/>
              </w:tabs>
              <w:spacing w:line="360" w:lineRule="auto"/>
              <w:ind w:firstLine="480" w:firstLineChars="200"/>
              <w:jc w:val="left"/>
              <w:rPr>
                <w:rFonts w:hint="eastAsia" w:ascii="仿宋" w:hAnsi="仿宋" w:eastAsia="仿宋" w:cs="仿宋"/>
                <w:sz w:val="24"/>
                <w:szCs w:val="24"/>
                <w:lang w:bidi="ar"/>
              </w:rPr>
            </w:pPr>
            <w:r>
              <w:rPr>
                <w:rFonts w:hint="eastAsia" w:ascii="仿宋" w:hAnsi="仿宋" w:eastAsia="仿宋" w:cs="仿宋"/>
                <w:sz w:val="24"/>
                <w:szCs w:val="24"/>
                <w:lang w:bidi="ar"/>
              </w:rPr>
              <w:t>查文件的评审及更新、作废：一阶段审核后修订了管理手册，替换了修改页，作废页已销毁。</w:t>
            </w:r>
          </w:p>
          <w:p>
            <w:pPr>
              <w:tabs>
                <w:tab w:val="center" w:pos="3169"/>
              </w:tabs>
              <w:spacing w:line="360" w:lineRule="auto"/>
              <w:ind w:firstLine="480" w:firstLineChars="200"/>
              <w:jc w:val="left"/>
              <w:rPr>
                <w:rFonts w:hint="eastAsia" w:ascii="仿宋" w:hAnsi="仿宋" w:eastAsia="仿宋" w:cs="仿宋"/>
                <w:sz w:val="24"/>
                <w:szCs w:val="24"/>
                <w:lang w:bidi="ar"/>
              </w:rPr>
            </w:pPr>
            <w:r>
              <w:rPr>
                <w:rFonts w:hint="eastAsia" w:ascii="仿宋" w:hAnsi="仿宋" w:eastAsia="仿宋" w:cs="仿宋"/>
                <w:sz w:val="24"/>
                <w:szCs w:val="24"/>
                <w:lang w:bidi="ar"/>
              </w:rPr>
              <w:t>文件按需求和公司管理规定发放至有关部门和人员，查有发放记录，符合。</w:t>
            </w:r>
          </w:p>
          <w:p>
            <w:pPr>
              <w:tabs>
                <w:tab w:val="center" w:pos="3169"/>
              </w:tabs>
              <w:spacing w:line="360" w:lineRule="auto"/>
              <w:ind w:firstLine="480" w:firstLineChars="200"/>
              <w:jc w:val="left"/>
              <w:rPr>
                <w:rFonts w:hint="eastAsia" w:ascii="仿宋" w:hAnsi="仿宋" w:eastAsia="仿宋" w:cs="仿宋"/>
                <w:sz w:val="24"/>
                <w:szCs w:val="24"/>
                <w:lang w:bidi="ar"/>
              </w:rPr>
            </w:pPr>
            <w:r>
              <w:rPr>
                <w:rFonts w:hint="eastAsia" w:ascii="仿宋" w:hAnsi="仿宋" w:eastAsia="仿宋" w:cs="仿宋"/>
                <w:sz w:val="24"/>
                <w:szCs w:val="24"/>
                <w:lang w:bidi="ar"/>
              </w:rPr>
              <w:t>口头提出待改进项目：未对电子文档的安全性管理做出明确规定。</w:t>
            </w:r>
          </w:p>
          <w:p>
            <w:pPr>
              <w:tabs>
                <w:tab w:val="center" w:pos="3169"/>
              </w:tabs>
              <w:spacing w:line="360" w:lineRule="auto"/>
              <w:ind w:firstLine="480" w:firstLineChars="200"/>
              <w:jc w:val="left"/>
              <w:rPr>
                <w:rFonts w:hint="eastAsia" w:ascii="仿宋" w:hAnsi="仿宋" w:eastAsia="仿宋" w:cs="仿宋"/>
                <w:sz w:val="24"/>
                <w:szCs w:val="24"/>
                <w:lang w:bidi="ar"/>
              </w:rPr>
            </w:pPr>
            <w:r>
              <w:rPr>
                <w:rFonts w:hint="eastAsia" w:ascii="仿宋" w:hAnsi="仿宋" w:eastAsia="仿宋" w:cs="仿宋"/>
                <w:sz w:val="24"/>
                <w:szCs w:val="24"/>
                <w:lang w:bidi="ar"/>
              </w:rPr>
              <w:t>提供《记录清单》，规定了记录的名称、编号、责任部门、保存期限等内容。</w:t>
            </w:r>
          </w:p>
          <w:p>
            <w:pPr>
              <w:tabs>
                <w:tab w:val="center" w:pos="3169"/>
              </w:tabs>
              <w:spacing w:line="360" w:lineRule="auto"/>
              <w:ind w:firstLine="480" w:firstLineChars="200"/>
              <w:jc w:val="left"/>
              <w:rPr>
                <w:rFonts w:hint="eastAsia" w:ascii="仿宋" w:hAnsi="仿宋" w:eastAsia="仿宋" w:cs="仿宋"/>
                <w:sz w:val="24"/>
                <w:szCs w:val="24"/>
                <w:lang w:bidi="ar"/>
              </w:rPr>
            </w:pPr>
            <w:r>
              <w:rPr>
                <w:rFonts w:hint="eastAsia" w:ascii="仿宋" w:hAnsi="仿宋" w:eastAsia="仿宋" w:cs="仿宋"/>
                <w:sz w:val="24"/>
                <w:szCs w:val="24"/>
                <w:lang w:bidi="ar"/>
              </w:rPr>
              <w:t>核对标准规定的应保留的记录和保存期限，标准所规定的记录均涵盖，保存期限规定的合理。</w:t>
            </w:r>
          </w:p>
          <w:p>
            <w:pPr>
              <w:tabs>
                <w:tab w:val="center" w:pos="3169"/>
              </w:tabs>
              <w:spacing w:line="360" w:lineRule="auto"/>
              <w:ind w:firstLine="480" w:firstLineChars="200"/>
              <w:jc w:val="left"/>
              <w:rPr>
                <w:rFonts w:hint="eastAsia" w:ascii="仿宋" w:hAnsi="仿宋" w:eastAsia="仿宋" w:cs="仿宋"/>
                <w:sz w:val="24"/>
                <w:szCs w:val="24"/>
                <w:lang w:bidi="ar"/>
              </w:rPr>
            </w:pPr>
            <w:r>
              <w:rPr>
                <w:rFonts w:hint="eastAsia" w:ascii="仿宋" w:hAnsi="仿宋" w:eastAsia="仿宋" w:cs="仿宋"/>
                <w:sz w:val="24"/>
                <w:szCs w:val="24"/>
                <w:lang w:bidi="ar"/>
              </w:rPr>
              <w:t>记录清单中对记录的管理、控制进行明确的分工。</w:t>
            </w:r>
          </w:p>
          <w:p>
            <w:pPr>
              <w:tabs>
                <w:tab w:val="center" w:pos="3169"/>
              </w:tabs>
              <w:spacing w:line="360" w:lineRule="auto"/>
              <w:ind w:firstLine="480" w:firstLineChars="200"/>
              <w:jc w:val="left"/>
              <w:rPr>
                <w:rFonts w:hint="eastAsia" w:ascii="仿宋" w:hAnsi="仿宋" w:eastAsia="仿宋" w:cs="仿宋"/>
                <w:sz w:val="24"/>
                <w:szCs w:val="24"/>
                <w:lang w:bidi="ar"/>
              </w:rPr>
            </w:pPr>
            <w:r>
              <w:rPr>
                <w:rFonts w:hint="eastAsia" w:ascii="仿宋" w:hAnsi="仿宋" w:eastAsia="仿宋" w:cs="仿宋"/>
                <w:sz w:val="24"/>
                <w:szCs w:val="24"/>
                <w:lang w:bidi="ar"/>
              </w:rPr>
              <w:t>办公室主要负责归档公司记录的标识、编目、保管、贮存，负责本程序的归口管理。见保管的记录：培训记录、环境因素识别评价表、危险源辨识及风险评价表、管理目标完成情况统计表、应急预案演练记录表、内审报告。</w:t>
            </w:r>
          </w:p>
          <w:p>
            <w:pPr>
              <w:tabs>
                <w:tab w:val="center" w:pos="3169"/>
              </w:tabs>
              <w:spacing w:line="360" w:lineRule="auto"/>
              <w:ind w:firstLine="480" w:firstLineChars="200"/>
              <w:jc w:val="left"/>
              <w:rPr>
                <w:rFonts w:hint="eastAsia" w:ascii="仿宋" w:hAnsi="仿宋" w:eastAsia="仿宋" w:cs="仿宋"/>
                <w:sz w:val="24"/>
                <w:szCs w:val="24"/>
                <w:lang w:bidi="ar"/>
              </w:rPr>
            </w:pPr>
            <w:r>
              <w:rPr>
                <w:rFonts w:hint="eastAsia" w:ascii="仿宋" w:hAnsi="仿宋" w:eastAsia="仿宋" w:cs="仿宋"/>
                <w:sz w:val="24"/>
                <w:szCs w:val="24"/>
                <w:lang w:bidi="ar"/>
              </w:rPr>
              <w:t>所见记录反映办公室能够按照记录控制要求进行管理，记录保存完整，填写清晰、工整。</w:t>
            </w:r>
          </w:p>
          <w:p>
            <w:pPr>
              <w:tabs>
                <w:tab w:val="center" w:pos="3169"/>
              </w:tabs>
              <w:spacing w:line="360" w:lineRule="auto"/>
              <w:ind w:firstLine="480" w:firstLineChars="200"/>
              <w:jc w:val="left"/>
              <w:rPr>
                <w:rFonts w:hint="eastAsia" w:ascii="仿宋" w:hAnsi="仿宋" w:eastAsia="仿宋" w:cs="仿宋"/>
                <w:sz w:val="24"/>
                <w:szCs w:val="24"/>
                <w:lang w:bidi="ar"/>
              </w:rPr>
            </w:pPr>
            <w:r>
              <w:rPr>
                <w:rFonts w:hint="eastAsia" w:ascii="仿宋" w:hAnsi="仿宋" w:eastAsia="仿宋" w:cs="仿宋"/>
                <w:sz w:val="24"/>
                <w:szCs w:val="24"/>
                <w:lang w:bidi="ar"/>
              </w:rPr>
              <w:t>记录控制符合要求。</w:t>
            </w:r>
          </w:p>
        </w:tc>
        <w:tc>
          <w:tcPr>
            <w:tcW w:w="577" w:type="dxa"/>
          </w:tcPr>
          <w:p>
            <w:pP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trPr>
        <w:tc>
          <w:tcPr>
            <w:tcW w:w="1668" w:type="dxa"/>
            <w:vAlign w:val="center"/>
          </w:tcPr>
          <w:p>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监视、测量、分析和评价</w:t>
            </w:r>
          </w:p>
        </w:tc>
        <w:tc>
          <w:tcPr>
            <w:tcW w:w="1367" w:type="dxa"/>
            <w:vAlign w:val="center"/>
          </w:tcPr>
          <w:p>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 xml:space="preserve">EO：9.1.1 </w:t>
            </w:r>
          </w:p>
        </w:tc>
        <w:tc>
          <w:tcPr>
            <w:tcW w:w="11097" w:type="dxa"/>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公司编制《RX/QES-CX-17-2020</w:t>
            </w:r>
            <w:r>
              <w:rPr>
                <w:rFonts w:hint="eastAsia" w:ascii="仿宋" w:hAnsi="仿宋" w:eastAsia="仿宋" w:cs="仿宋"/>
                <w:sz w:val="24"/>
                <w:szCs w:val="24"/>
              </w:rPr>
              <w:tab/>
            </w:r>
            <w:r>
              <w:rPr>
                <w:rFonts w:hint="eastAsia" w:ascii="仿宋" w:hAnsi="仿宋" w:eastAsia="仿宋" w:cs="仿宋"/>
                <w:sz w:val="24"/>
                <w:szCs w:val="24"/>
              </w:rPr>
              <w:t>监视、测量、分析和评价控制程序》，部门通过月度巡查考核对各部门进行监控。</w:t>
            </w:r>
          </w:p>
          <w:p>
            <w:pPr>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管理体系目标考核按季度进行，抽查到202</w:t>
            </w:r>
            <w:r>
              <w:rPr>
                <w:rFonts w:hint="eastAsia" w:ascii="仿宋" w:hAnsi="仿宋" w:eastAsia="仿宋" w:cs="仿宋"/>
                <w:sz w:val="24"/>
                <w:szCs w:val="24"/>
                <w:lang w:val="en-US" w:eastAsia="zh-CN"/>
              </w:rPr>
              <w:t>2</w:t>
            </w: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.30日目标考核记录，办公室负责考核，公司和分解的各部门管理目标均已完成。</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审核时发现公司未能提供202</w:t>
            </w:r>
            <w:r>
              <w:rPr>
                <w:rFonts w:hint="eastAsia" w:ascii="仿宋" w:hAnsi="仿宋" w:eastAsia="仿宋" w:cs="仿宋"/>
                <w:sz w:val="24"/>
                <w:szCs w:val="24"/>
                <w:lang w:val="en-US" w:eastAsia="zh-CN"/>
              </w:rPr>
              <w:t>2</w:t>
            </w:r>
            <w:r>
              <w:rPr>
                <w:rFonts w:hint="eastAsia" w:ascii="仿宋" w:hAnsi="仿宋" w:eastAsia="仿宋" w:cs="仿宋"/>
                <w:sz w:val="24"/>
                <w:szCs w:val="24"/>
              </w:rPr>
              <w:t>年度对管理方案完成情况进行检查考核的证据，不符合文件和标准要求，开具了不符合报告。</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提供监视和测量“管理过程检查记录”，每月对各部门进行环境安全事项的例行检查，检查项目包括是否制定了和相关程序管理办法；目标、指标管理方案实施情况；固体废弃物处理情况；用电管理情况；废水管理情况；噪声管理情况；办公用品使用情况；生活垃圾管理情况；灭火器管理。抽查202</w:t>
            </w:r>
            <w:r>
              <w:rPr>
                <w:rFonts w:hint="eastAsia" w:ascii="仿宋" w:hAnsi="仿宋" w:eastAsia="仿宋" w:cs="仿宋"/>
                <w:sz w:val="24"/>
                <w:szCs w:val="24"/>
                <w:lang w:val="en-US" w:eastAsia="zh-CN"/>
              </w:rPr>
              <w:t>2</w:t>
            </w:r>
            <w:r>
              <w:rPr>
                <w:rFonts w:hint="eastAsia" w:ascii="仿宋" w:hAnsi="仿宋" w:eastAsia="仿宋" w:cs="仿宋"/>
                <w:sz w:val="24"/>
                <w:szCs w:val="24"/>
              </w:rPr>
              <w:t>.</w:t>
            </w:r>
            <w:r>
              <w:rPr>
                <w:rFonts w:hint="eastAsia" w:ascii="仿宋" w:hAnsi="仿宋" w:eastAsia="仿宋" w:cs="仿宋"/>
                <w:sz w:val="24"/>
                <w:szCs w:val="24"/>
                <w:lang w:val="en-US" w:eastAsia="zh-CN"/>
              </w:rPr>
              <w:t>6.10</w:t>
            </w:r>
            <w:r>
              <w:rPr>
                <w:rFonts w:hint="eastAsia" w:ascii="仿宋" w:hAnsi="仿宋" w:eastAsia="仿宋" w:cs="仿宋"/>
                <w:sz w:val="24"/>
                <w:szCs w:val="24"/>
              </w:rPr>
              <w:t>日对检查结果正常，检查人：尹振江、尹忠广等。</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提供环境“管理过程检查记录表</w:t>
            </w:r>
            <w:r>
              <w:rPr>
                <w:rFonts w:hint="eastAsia" w:ascii="仿宋" w:hAnsi="仿宋" w:eastAsia="仿宋" w:cs="仿宋"/>
                <w:sz w:val="24"/>
                <w:szCs w:val="24"/>
              </w:rPr>
              <w:t>”，每月对各部门进行环境安全事项的例行检查，检查项目包括是否识别评价了本部门的重要环境因素、其重要环境因素是。是否识别评价更新了适用的法律法规。对分管的环境因素控制项目，是制定了运行管理规定。本部门分解的环境目标指标，采取什么措施进行控制。水资源是否有跑、冒、滴、漏现象。电能资源使用有无不合理浪费情况。办公用品是否做到科学合理使用，有无浪费。对噪声是否进行了管理控制。固废有无乱丢现象，对其是否进行统一分类，回收处理。所辖区域是否干净、整洁，有无污水、废弃物等。是否对相关方施加环境管理影响。</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抽查202</w:t>
            </w:r>
            <w:r>
              <w:rPr>
                <w:rFonts w:hint="eastAsia" w:ascii="仿宋" w:hAnsi="仿宋" w:eastAsia="仿宋" w:cs="仿宋"/>
                <w:sz w:val="24"/>
                <w:szCs w:val="24"/>
                <w:lang w:val="en-US" w:eastAsia="zh-CN"/>
              </w:rPr>
              <w:t>2.5.18</w:t>
            </w:r>
            <w:r>
              <w:rPr>
                <w:rFonts w:hint="eastAsia" w:ascii="仿宋" w:hAnsi="仿宋" w:eastAsia="仿宋" w:cs="仿宋"/>
                <w:sz w:val="24"/>
                <w:szCs w:val="24"/>
              </w:rPr>
              <w:t>日对检查结果正常，检查人：尹振江、尹忠广等。</w:t>
            </w:r>
          </w:p>
          <w:p>
            <w:pPr>
              <w:pStyle w:val="3"/>
              <w:ind w:firstLine="480" w:firstLineChars="200"/>
              <w:rPr>
                <w:rFonts w:hint="eastAsia" w:ascii="仿宋" w:hAnsi="仿宋" w:eastAsia="仿宋" w:cs="仿宋"/>
                <w:b w:val="0"/>
                <w:bCs w:val="0"/>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查到职业健康安全管理运行“目标</w:t>
            </w:r>
            <w:r>
              <w:rPr>
                <w:rFonts w:hint="eastAsia" w:ascii="仿宋" w:hAnsi="仿宋" w:eastAsia="仿宋" w:cs="仿宋"/>
                <w:sz w:val="24"/>
                <w:szCs w:val="24"/>
                <w:lang w:eastAsia="zh-CN"/>
              </w:rPr>
              <w:t>、指标、管理方案</w:t>
            </w:r>
            <w:r>
              <w:rPr>
                <w:rFonts w:hint="eastAsia" w:ascii="仿宋" w:hAnsi="仿宋" w:eastAsia="仿宋" w:cs="仿宋"/>
                <w:sz w:val="24"/>
                <w:szCs w:val="24"/>
              </w:rPr>
              <w:t>实施情况检查表</w:t>
            </w:r>
            <w:bookmarkStart w:id="0" w:name="_GoBack"/>
            <w:bookmarkEnd w:id="0"/>
            <w:r>
              <w:rPr>
                <w:rFonts w:hint="eastAsia" w:ascii="仿宋" w:hAnsi="仿宋" w:eastAsia="仿宋" w:cs="仿宋"/>
                <w:sz w:val="24"/>
                <w:szCs w:val="24"/>
                <w:lang w:eastAsia="zh-CN"/>
              </w:rPr>
              <w:t>”</w:t>
            </w:r>
            <w:r>
              <w:rPr>
                <w:rFonts w:hint="eastAsia" w:ascii="仿宋" w:hAnsi="仿宋" w:eastAsia="仿宋" w:cs="仿宋"/>
                <w:sz w:val="24"/>
                <w:szCs w:val="24"/>
              </w:rPr>
              <w:t>，202</w:t>
            </w:r>
            <w:r>
              <w:rPr>
                <w:rFonts w:hint="eastAsia" w:ascii="仿宋" w:hAnsi="仿宋" w:eastAsia="仿宋" w:cs="仿宋"/>
                <w:sz w:val="24"/>
                <w:szCs w:val="24"/>
                <w:lang w:val="en-US" w:eastAsia="zh-CN"/>
              </w:rPr>
              <w:t>2.</w:t>
            </w:r>
            <w:r>
              <w:rPr>
                <w:rFonts w:hint="eastAsia" w:ascii="仿宋" w:hAnsi="仿宋" w:eastAsia="仿宋" w:cs="仿宋"/>
                <w:sz w:val="24"/>
                <w:szCs w:val="24"/>
              </w:rPr>
              <w:t>5.1</w:t>
            </w:r>
            <w:r>
              <w:rPr>
                <w:rFonts w:hint="eastAsia" w:ascii="仿宋" w:hAnsi="仿宋" w:eastAsia="仿宋" w:cs="仿宋"/>
                <w:sz w:val="24"/>
                <w:szCs w:val="24"/>
                <w:lang w:val="en-US" w:eastAsia="zh-CN"/>
              </w:rPr>
              <w:t>5</w:t>
            </w:r>
            <w:r>
              <w:rPr>
                <w:rFonts w:hint="eastAsia" w:ascii="仿宋" w:hAnsi="仿宋" w:eastAsia="仿宋" w:cs="仿宋"/>
                <w:sz w:val="24"/>
                <w:szCs w:val="24"/>
              </w:rPr>
              <w:t>日尹振江、尹忠广等人对办公室、供销部、质检部检查，内容涉及是否制定了《职业健康安全管理运行控制程序》？并对其定期检查和考核。是否识别评价了本部门的重要危险源，其重要危险源是。是否识别评价更新了适用的法律法规。对分管的危险源控制项目，是制定了运行管理规定或作业指导书。本部门分解的目标指标是？采取什么措施进行控制。饮用生水，垃圾清理不及时，电脑辐射，人离开未断电源，灭火器配备不足或故障，无漏电保护装置，地面积水控制，烟头乱扔，电线电器老化，超负荷用电，无避雷装置，异常天气，无证开车，酒后开车，车辆漏油等。检查结果均正常。</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经交流公司无用于环境和安全监测的设备。</w:t>
            </w:r>
          </w:p>
          <w:p>
            <w:pPr>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sz w:val="24"/>
                <w:szCs w:val="24"/>
              </w:rPr>
              <w:t>经交流确认，公司员工不涉及职业病。</w:t>
            </w:r>
          </w:p>
        </w:tc>
        <w:tc>
          <w:tcPr>
            <w:tcW w:w="577" w:type="dxa"/>
          </w:tcPr>
          <w:p>
            <w:pP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trPr>
        <w:tc>
          <w:tcPr>
            <w:tcW w:w="1668" w:type="dxa"/>
            <w:vAlign w:val="center"/>
          </w:tcPr>
          <w:p>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合规性评价</w:t>
            </w:r>
          </w:p>
        </w:tc>
        <w:tc>
          <w:tcPr>
            <w:tcW w:w="1367" w:type="dxa"/>
            <w:vAlign w:val="center"/>
          </w:tcPr>
          <w:p>
            <w:pPr>
              <w:spacing w:line="360" w:lineRule="auto"/>
              <w:rPr>
                <w:rFonts w:hint="eastAsia" w:ascii="仿宋" w:hAnsi="仿宋" w:eastAsia="仿宋" w:cs="仿宋"/>
                <w:bCs/>
                <w:kern w:val="2"/>
                <w:sz w:val="24"/>
                <w:szCs w:val="24"/>
                <w:lang w:val="en-US" w:eastAsia="zh-CN" w:bidi="ar-SA"/>
              </w:rPr>
            </w:pPr>
            <w:r>
              <w:rPr>
                <w:rFonts w:hint="eastAsia" w:ascii="仿宋" w:hAnsi="仿宋" w:eastAsia="仿宋" w:cs="仿宋"/>
                <w:sz w:val="24"/>
                <w:szCs w:val="24"/>
              </w:rPr>
              <w:t>EO:9.1.2</w:t>
            </w:r>
            <w:r>
              <w:rPr>
                <w:rFonts w:hint="eastAsia" w:ascii="仿宋" w:hAnsi="仿宋" w:eastAsia="仿宋" w:cs="仿宋"/>
                <w:bCs/>
                <w:sz w:val="24"/>
                <w:szCs w:val="24"/>
              </w:rPr>
              <w:t xml:space="preserve"> </w:t>
            </w:r>
          </w:p>
        </w:tc>
        <w:tc>
          <w:tcPr>
            <w:tcW w:w="11097" w:type="dxa"/>
            <w:vAlign w:val="center"/>
          </w:tcPr>
          <w:p>
            <w:pPr>
              <w:snapToGrid w:val="0"/>
              <w:spacing w:line="360" w:lineRule="auto"/>
              <w:ind w:right="392" w:firstLine="480" w:firstLineChars="200"/>
              <w:rPr>
                <w:rFonts w:hint="eastAsia" w:ascii="仿宋" w:hAnsi="仿宋" w:eastAsia="仿宋" w:cs="仿宋"/>
                <w:bCs/>
                <w:sz w:val="24"/>
                <w:szCs w:val="24"/>
              </w:rPr>
            </w:pPr>
            <w:r>
              <w:rPr>
                <w:rFonts w:hint="eastAsia" w:ascii="仿宋" w:hAnsi="仿宋" w:eastAsia="仿宋" w:cs="仿宋"/>
                <w:bCs/>
                <w:sz w:val="24"/>
                <w:szCs w:val="24"/>
              </w:rPr>
              <w:t>编制了《</w:t>
            </w:r>
            <w:r>
              <w:rPr>
                <w:rFonts w:hint="eastAsia" w:ascii="仿宋" w:hAnsi="仿宋" w:eastAsia="仿宋" w:cs="仿宋"/>
                <w:sz w:val="24"/>
                <w:szCs w:val="24"/>
              </w:rPr>
              <w:t>RX/QES-CX-25-</w:t>
            </w:r>
            <w:r>
              <w:rPr>
                <w:rFonts w:hint="eastAsia" w:ascii="仿宋" w:hAnsi="仿宋" w:eastAsia="仿宋" w:cs="仿宋"/>
                <w:bCs/>
                <w:sz w:val="24"/>
                <w:szCs w:val="24"/>
              </w:rPr>
              <w:t>2020</w:t>
            </w:r>
            <w:r>
              <w:rPr>
                <w:rFonts w:hint="eastAsia" w:ascii="仿宋" w:hAnsi="仿宋" w:eastAsia="仿宋" w:cs="仿宋"/>
                <w:bCs/>
                <w:sz w:val="24"/>
                <w:szCs w:val="24"/>
              </w:rPr>
              <w:tab/>
            </w:r>
            <w:r>
              <w:rPr>
                <w:rFonts w:hint="eastAsia" w:ascii="仿宋" w:hAnsi="仿宋" w:eastAsia="仿宋" w:cs="仿宋"/>
                <w:bCs/>
                <w:sz w:val="24"/>
                <w:szCs w:val="24"/>
              </w:rPr>
              <w:t>合规性评价程序》，其中规定了对本公司法规及其他要求的合规性评价的要求。</w:t>
            </w:r>
          </w:p>
          <w:p>
            <w:pPr>
              <w:snapToGrid w:val="0"/>
              <w:spacing w:line="360" w:lineRule="auto"/>
              <w:ind w:right="392" w:firstLine="480" w:firstLineChars="200"/>
              <w:rPr>
                <w:rFonts w:hint="eastAsia" w:ascii="仿宋" w:hAnsi="仿宋" w:eastAsia="仿宋" w:cs="仿宋"/>
                <w:bCs/>
                <w:sz w:val="24"/>
                <w:szCs w:val="24"/>
              </w:rPr>
            </w:pPr>
            <w:r>
              <w:rPr>
                <w:rFonts w:hint="eastAsia" w:ascii="仿宋" w:hAnsi="仿宋" w:eastAsia="仿宋" w:cs="仿宋"/>
                <w:bCs/>
                <w:sz w:val="24"/>
                <w:szCs w:val="24"/>
              </w:rPr>
              <w:t>现场提供了202</w:t>
            </w:r>
            <w:r>
              <w:rPr>
                <w:rFonts w:hint="eastAsia" w:ascii="仿宋" w:hAnsi="仿宋" w:eastAsia="仿宋" w:cs="仿宋"/>
                <w:bCs/>
                <w:sz w:val="24"/>
                <w:szCs w:val="24"/>
                <w:lang w:val="en-US" w:eastAsia="zh-CN"/>
              </w:rPr>
              <w:t>2</w:t>
            </w:r>
            <w:r>
              <w:rPr>
                <w:rFonts w:hint="eastAsia" w:ascii="仿宋" w:hAnsi="仿宋" w:eastAsia="仿宋" w:cs="仿宋"/>
                <w:bCs/>
                <w:sz w:val="24"/>
                <w:szCs w:val="24"/>
              </w:rPr>
              <w:t>.1.10日的“环境、职业健康安全管理体系法规合规性评价”记录，尹振江、</w:t>
            </w:r>
            <w:r>
              <w:rPr>
                <w:rFonts w:hint="eastAsia" w:ascii="仿宋" w:hAnsi="仿宋" w:eastAsia="仿宋" w:cs="仿宋"/>
                <w:bCs/>
                <w:sz w:val="24"/>
                <w:szCs w:val="24"/>
                <w:lang w:eastAsia="zh-CN"/>
              </w:rPr>
              <w:t>李美茹</w:t>
            </w:r>
            <w:r>
              <w:rPr>
                <w:rFonts w:hint="eastAsia" w:ascii="仿宋" w:hAnsi="仿宋" w:eastAsia="仿宋" w:cs="仿宋"/>
                <w:bCs/>
                <w:sz w:val="24"/>
                <w:szCs w:val="24"/>
              </w:rPr>
              <w:t>等对收集的法规进行了合规性评价，评价结果均遵守。</w:t>
            </w:r>
          </w:p>
          <w:p>
            <w:pPr>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sz w:val="24"/>
                <w:szCs w:val="24"/>
              </w:rPr>
              <w:t>部门已对有关法规及其他要求进行识别、评价，满足要求。</w:t>
            </w:r>
          </w:p>
        </w:tc>
        <w:tc>
          <w:tcPr>
            <w:tcW w:w="577" w:type="dxa"/>
          </w:tcPr>
          <w:p>
            <w:pP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trPr>
        <w:tc>
          <w:tcPr>
            <w:tcW w:w="1668" w:type="dxa"/>
            <w:vAlign w:val="center"/>
          </w:tcPr>
          <w:p>
            <w:pPr>
              <w:rPr>
                <w:rFonts w:hint="eastAsia" w:ascii="仿宋" w:hAnsi="仿宋" w:eastAsia="仿宋" w:cs="仿宋"/>
                <w:sz w:val="24"/>
                <w:szCs w:val="24"/>
                <w:lang w:bidi="ar"/>
              </w:rPr>
            </w:pPr>
            <w:r>
              <w:rPr>
                <w:rFonts w:hint="eastAsia" w:ascii="仿宋" w:hAnsi="仿宋" w:eastAsia="仿宋" w:cs="仿宋"/>
                <w:color w:val="000000" w:themeColor="text1"/>
                <w:sz w:val="24"/>
                <w:szCs w:val="24"/>
              </w:rPr>
              <w:t>内部审核</w:t>
            </w:r>
          </w:p>
        </w:tc>
        <w:tc>
          <w:tcPr>
            <w:tcW w:w="1367" w:type="dxa"/>
          </w:tcPr>
          <w:p>
            <w:pPr>
              <w:spacing w:line="360" w:lineRule="auto"/>
              <w:rPr>
                <w:rFonts w:hint="eastAsia" w:ascii="仿宋" w:hAnsi="仿宋" w:eastAsia="仿宋" w:cs="仿宋"/>
                <w:sz w:val="24"/>
                <w:szCs w:val="24"/>
              </w:rPr>
            </w:pPr>
            <w:r>
              <w:rPr>
                <w:rFonts w:hint="eastAsia" w:ascii="仿宋" w:hAnsi="仿宋" w:eastAsia="仿宋" w:cs="仿宋"/>
                <w:sz w:val="24"/>
                <w:szCs w:val="24"/>
              </w:rPr>
              <w:t>EO9.2</w:t>
            </w:r>
          </w:p>
          <w:p>
            <w:pPr>
              <w:spacing w:line="360" w:lineRule="auto"/>
              <w:rPr>
                <w:rFonts w:hint="eastAsia" w:ascii="仿宋" w:hAnsi="仿宋" w:eastAsia="仿宋" w:cs="仿宋"/>
                <w:sz w:val="24"/>
                <w:szCs w:val="24"/>
              </w:rPr>
            </w:pPr>
          </w:p>
        </w:tc>
        <w:tc>
          <w:tcPr>
            <w:tcW w:w="11097" w:type="dxa"/>
            <w:vAlign w:val="center"/>
          </w:tcPr>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公司制定《RX/QES-CX-18-2020</w:t>
            </w:r>
            <w:r>
              <w:rPr>
                <w:rFonts w:hint="eastAsia" w:ascii="仿宋" w:hAnsi="仿宋" w:eastAsia="仿宋" w:cs="仿宋"/>
                <w:color w:val="000000" w:themeColor="text1"/>
                <w:sz w:val="24"/>
                <w:szCs w:val="24"/>
              </w:rPr>
              <w:tab/>
            </w:r>
            <w:r>
              <w:rPr>
                <w:rFonts w:hint="eastAsia" w:ascii="仿宋" w:hAnsi="仿宋" w:eastAsia="仿宋" w:cs="仿宋"/>
                <w:color w:val="000000" w:themeColor="text1"/>
                <w:sz w:val="24"/>
                <w:szCs w:val="24"/>
              </w:rPr>
              <w:t>内部审核控制程序》，对内部审核方案策划规定：内审每年进行一次，按部门/过程审核。</w:t>
            </w:r>
          </w:p>
          <w:p>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管代介绍内审的安排和做法，与程序文件“内部审核控制程序”相符。</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查最近一次内审记录：202</w:t>
            </w:r>
            <w:r>
              <w:rPr>
                <w:rFonts w:hint="eastAsia" w:ascii="仿宋" w:hAnsi="仿宋" w:eastAsia="仿宋" w:cs="仿宋"/>
                <w:color w:val="000000" w:themeColor="text1"/>
                <w:sz w:val="24"/>
                <w:szCs w:val="24"/>
                <w:lang w:val="en-US" w:eastAsia="zh-CN"/>
              </w:rPr>
              <w:t>2</w:t>
            </w:r>
            <w:r>
              <w:rPr>
                <w:rFonts w:hint="eastAsia" w:ascii="仿宋" w:hAnsi="仿宋" w:eastAsia="仿宋" w:cs="仿宋"/>
                <w:color w:val="000000" w:themeColor="text1"/>
                <w:sz w:val="24"/>
                <w:szCs w:val="24"/>
              </w:rPr>
              <w:t>年</w:t>
            </w:r>
            <w:r>
              <w:rPr>
                <w:rFonts w:hint="eastAsia" w:ascii="仿宋" w:hAnsi="仿宋" w:eastAsia="仿宋" w:cs="仿宋"/>
                <w:color w:val="000000" w:themeColor="text1"/>
                <w:sz w:val="24"/>
                <w:szCs w:val="24"/>
                <w:lang w:val="en-US" w:eastAsia="zh-CN"/>
              </w:rPr>
              <w:t>3</w:t>
            </w:r>
            <w:r>
              <w:rPr>
                <w:rFonts w:hint="eastAsia" w:ascii="仿宋" w:hAnsi="仿宋" w:eastAsia="仿宋" w:cs="仿宋"/>
                <w:color w:val="000000" w:themeColor="text1"/>
                <w:sz w:val="24"/>
                <w:szCs w:val="24"/>
              </w:rPr>
              <w:t>月27-28日进行三合一体系内部审核，审核组成员：A组：</w:t>
            </w:r>
            <w:r>
              <w:rPr>
                <w:rFonts w:hint="eastAsia" w:ascii="仿宋" w:hAnsi="仿宋" w:eastAsia="仿宋" w:cs="仿宋"/>
                <w:color w:val="000000" w:themeColor="text1"/>
                <w:sz w:val="24"/>
                <w:szCs w:val="24"/>
                <w:lang w:eastAsia="zh-CN"/>
              </w:rPr>
              <w:t>李美茹</w:t>
            </w:r>
            <w:r>
              <w:rPr>
                <w:rFonts w:hint="eastAsia" w:ascii="仿宋" w:hAnsi="仿宋" w:eastAsia="仿宋" w:cs="仿宋"/>
                <w:color w:val="000000" w:themeColor="text1"/>
                <w:sz w:val="24"/>
                <w:szCs w:val="24"/>
              </w:rPr>
              <w:t xml:space="preserve"> 尹振江 B组：姚建龙   尹忠广，经过培训，并经总经理任命。</w:t>
            </w:r>
            <w:r>
              <w:rPr>
                <w:rFonts w:hint="eastAsia" w:ascii="仿宋" w:hAnsi="仿宋" w:eastAsia="仿宋" w:cs="仿宋"/>
                <w:color w:val="000000" w:themeColor="text1"/>
                <w:sz w:val="24"/>
                <w:szCs w:val="24"/>
              </w:rPr>
              <w:br w:type="textWrapping"/>
            </w:r>
            <w:r>
              <w:rPr>
                <w:rFonts w:hint="eastAsia" w:ascii="仿宋" w:hAnsi="仿宋" w:eastAsia="仿宋" w:cs="仿宋"/>
                <w:color w:val="000000" w:themeColor="text1"/>
                <w:sz w:val="24"/>
                <w:szCs w:val="24"/>
              </w:rPr>
              <w:t xml:space="preserve">    查内审计划，涉及了所有部门及相关过程。计划编制合理，无漏条款现象。</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内审员按照计划安排实施了审核，记录为电子档。审核员没有审核自己部门工作，具有独立性。</w:t>
            </w:r>
          </w:p>
          <w:p>
            <w:pPr>
              <w:spacing w:line="520" w:lineRule="exact"/>
              <w:ind w:firstLine="480" w:firstLineChars="200"/>
              <w:rPr>
                <w:rFonts w:hint="eastAsia" w:ascii="楷体_GB2312" w:hAnsi="宋体" w:eastAsia="楷体_GB2312"/>
                <w:color w:val="000000"/>
                <w:sz w:val="24"/>
                <w:lang w:eastAsia="zh-CN"/>
              </w:rPr>
            </w:pPr>
            <w:r>
              <w:rPr>
                <w:rFonts w:hint="eastAsia" w:ascii="仿宋" w:hAnsi="仿宋" w:eastAsia="仿宋" w:cs="仿宋"/>
                <w:color w:val="000000" w:themeColor="text1"/>
                <w:sz w:val="24"/>
                <w:szCs w:val="24"/>
              </w:rPr>
              <w:t>审核活动共提出1个不符合项，分别分布在供销部。涉及条款有Q</w:t>
            </w:r>
            <w:r>
              <w:rPr>
                <w:rFonts w:hint="eastAsia" w:ascii="楷体_GB2312" w:hAnsi="宋体" w:eastAsia="楷体_GB2312"/>
                <w:color w:val="000000"/>
                <w:sz w:val="24"/>
              </w:rPr>
              <w:t>8.5.2</w:t>
            </w:r>
            <w:r>
              <w:rPr>
                <w:rFonts w:hint="eastAsia" w:ascii="仿宋" w:hAnsi="仿宋" w:eastAsia="仿宋" w:cs="仿宋"/>
                <w:color w:val="000000" w:themeColor="text1"/>
                <w:sz w:val="24"/>
                <w:szCs w:val="24"/>
              </w:rPr>
              <w:t>条款（</w:t>
            </w:r>
            <w:r>
              <w:rPr>
                <w:rFonts w:hint="eastAsia" w:ascii="仿宋" w:hAnsi="仿宋" w:eastAsia="仿宋" w:cs="仿宋"/>
                <w:color w:val="000000"/>
                <w:sz w:val="24"/>
              </w:rPr>
              <w:t>查</w:t>
            </w:r>
            <w:r>
              <w:rPr>
                <w:rFonts w:hint="eastAsia" w:ascii="楷体_GB2312" w:hAnsi="宋体" w:eastAsia="楷体_GB2312"/>
                <w:color w:val="000000"/>
                <w:sz w:val="24"/>
              </w:rPr>
              <w:t>仓库没有区域标识</w:t>
            </w:r>
            <w:r>
              <w:rPr>
                <w:rFonts w:hint="eastAsia" w:ascii="楷体_GB2312" w:hAnsi="宋体" w:eastAsia="楷体_GB2312"/>
                <w:color w:val="000000"/>
                <w:sz w:val="24"/>
                <w:lang w:eastAsia="zh-CN"/>
              </w:rPr>
              <w:t>）</w:t>
            </w:r>
          </w:p>
          <w:p>
            <w:pPr>
              <w:spacing w:line="360" w:lineRule="auto"/>
              <w:ind w:left="420" w:left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；查不符合项报告。不符合项报告事实描述清楚，原因分析到位，纠正措施及其验证合理。不符合项202</w:t>
            </w:r>
            <w:r>
              <w:rPr>
                <w:rFonts w:hint="eastAsia" w:ascii="仿宋" w:hAnsi="仿宋" w:eastAsia="仿宋" w:cs="仿宋"/>
                <w:color w:val="000000" w:themeColor="text1"/>
                <w:sz w:val="24"/>
                <w:szCs w:val="24"/>
                <w:lang w:val="en-US" w:eastAsia="zh-CN"/>
              </w:rPr>
              <w:t>2</w:t>
            </w:r>
            <w:r>
              <w:rPr>
                <w:rFonts w:hint="eastAsia" w:ascii="仿宋" w:hAnsi="仿宋" w:eastAsia="仿宋" w:cs="仿宋"/>
                <w:color w:val="000000" w:themeColor="text1"/>
                <w:sz w:val="24"/>
                <w:szCs w:val="24"/>
              </w:rPr>
              <w:t>年</w:t>
            </w:r>
            <w:r>
              <w:rPr>
                <w:rFonts w:hint="eastAsia" w:ascii="仿宋" w:hAnsi="仿宋" w:eastAsia="仿宋" w:cs="仿宋"/>
                <w:color w:val="000000" w:themeColor="text1"/>
                <w:sz w:val="24"/>
                <w:szCs w:val="24"/>
                <w:lang w:val="en-US" w:eastAsia="zh-CN"/>
              </w:rPr>
              <w:t>3</w:t>
            </w:r>
            <w:r>
              <w:rPr>
                <w:rFonts w:hint="eastAsia" w:ascii="仿宋" w:hAnsi="仿宋" w:eastAsia="仿宋" w:cs="仿宋"/>
                <w:color w:val="000000" w:themeColor="text1"/>
                <w:sz w:val="24"/>
                <w:szCs w:val="24"/>
              </w:rPr>
              <w:t>月29日验证关闭。</w:t>
            </w:r>
          </w:p>
          <w:p>
            <w:pPr>
              <w:spacing w:line="360" w:lineRule="auto"/>
              <w:ind w:firstLine="480" w:firstLineChars="200"/>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rPr>
              <w:t>查内审报告：</w:t>
            </w:r>
            <w:r>
              <w:rPr>
                <w:rFonts w:hint="eastAsia" w:ascii="仿宋" w:hAnsi="仿宋" w:eastAsia="仿宋" w:cs="仿宋"/>
                <w:color w:val="000000"/>
                <w:sz w:val="24"/>
              </w:rPr>
              <w:t>本公司质量/环境/职业健康安全三管理体系符合公司管理手册、程序性文件、ISO9001:2015、ISO14001:2015、ISO45001:2018的要求，本公司质量/环境/职业健康安全三管理体系得到了有效实施，运行实施保持了适宜性</w:t>
            </w:r>
            <w:r>
              <w:rPr>
                <w:rFonts w:hint="eastAsia" w:ascii="仿宋" w:hAnsi="仿宋" w:eastAsia="仿宋" w:cs="仿宋"/>
                <w:color w:val="000000" w:themeColor="text1"/>
                <w:sz w:val="24"/>
                <w:szCs w:val="24"/>
              </w:rPr>
              <w:t>。</w:t>
            </w:r>
            <w:r>
              <w:rPr>
                <w:rFonts w:hint="eastAsia" w:ascii="仿宋" w:hAnsi="仿宋" w:eastAsia="仿宋" w:cs="仿宋"/>
                <w:color w:val="000000" w:themeColor="text1"/>
                <w:sz w:val="24"/>
                <w:szCs w:val="24"/>
                <w:lang w:eastAsia="zh-CN"/>
              </w:rPr>
              <w:drawing>
                <wp:inline distT="0" distB="0" distL="114300" distR="114300">
                  <wp:extent cx="2494915" cy="3462020"/>
                  <wp:effectExtent l="0" t="0" r="6985" b="5080"/>
                  <wp:docPr id="1" name="图片 1" descr="日兴内审首次签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日兴内审首次签到"/>
                          <pic:cNvPicPr>
                            <a:picLocks noChangeAspect="1"/>
                          </pic:cNvPicPr>
                        </pic:nvPicPr>
                        <pic:blipFill>
                          <a:blip r:embed="rId6"/>
                          <a:stretch>
                            <a:fillRect/>
                          </a:stretch>
                        </pic:blipFill>
                        <pic:spPr>
                          <a:xfrm>
                            <a:off x="0" y="0"/>
                            <a:ext cx="2494915" cy="3462020"/>
                          </a:xfrm>
                          <a:prstGeom prst="rect">
                            <a:avLst/>
                          </a:prstGeom>
                        </pic:spPr>
                      </pic:pic>
                    </a:graphicData>
                  </a:graphic>
                </wp:inline>
              </w:drawing>
            </w:r>
            <w:r>
              <w:rPr>
                <w:rFonts w:hint="eastAsia" w:ascii="仿宋" w:hAnsi="仿宋" w:eastAsia="仿宋" w:cs="仿宋"/>
                <w:color w:val="000000" w:themeColor="text1"/>
                <w:sz w:val="24"/>
                <w:szCs w:val="24"/>
                <w:lang w:eastAsia="zh-CN"/>
              </w:rPr>
              <w:drawing>
                <wp:inline distT="0" distB="0" distL="114300" distR="114300">
                  <wp:extent cx="2549525" cy="3417570"/>
                  <wp:effectExtent l="0" t="0" r="3175" b="11430"/>
                  <wp:docPr id="2" name="图片 2" descr="日兴内审末次签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日兴内审末次签到"/>
                          <pic:cNvPicPr>
                            <a:picLocks noChangeAspect="1"/>
                          </pic:cNvPicPr>
                        </pic:nvPicPr>
                        <pic:blipFill>
                          <a:blip r:embed="rId7"/>
                          <a:stretch>
                            <a:fillRect/>
                          </a:stretch>
                        </pic:blipFill>
                        <pic:spPr>
                          <a:xfrm>
                            <a:off x="0" y="0"/>
                            <a:ext cx="2549525" cy="3417570"/>
                          </a:xfrm>
                          <a:prstGeom prst="rect">
                            <a:avLst/>
                          </a:prstGeom>
                        </pic:spPr>
                      </pic:pic>
                    </a:graphicData>
                  </a:graphic>
                </wp:inline>
              </w:drawing>
            </w:r>
          </w:p>
          <w:p>
            <w:pPr>
              <w:pStyle w:val="4"/>
              <w:rPr>
                <w:rFonts w:hint="eastAsia" w:ascii="仿宋" w:hAnsi="仿宋" w:eastAsia="仿宋" w:cs="仿宋"/>
                <w:sz w:val="24"/>
                <w:szCs w:val="24"/>
              </w:rPr>
            </w:pPr>
          </w:p>
        </w:tc>
        <w:tc>
          <w:tcPr>
            <w:tcW w:w="577" w:type="dxa"/>
          </w:tcPr>
          <w:p>
            <w:pP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668" w:type="dxa"/>
            <w:vAlign w:val="center"/>
          </w:tcPr>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不合格和纠正措施</w:t>
            </w:r>
          </w:p>
        </w:tc>
        <w:tc>
          <w:tcPr>
            <w:tcW w:w="1367" w:type="dxa"/>
            <w:vAlign w:val="center"/>
          </w:tcPr>
          <w:p>
            <w:pPr>
              <w:spacing w:line="360" w:lineRule="auto"/>
              <w:jc w:val="center"/>
              <w:rPr>
                <w:rFonts w:hint="eastAsia" w:ascii="仿宋" w:hAnsi="仿宋" w:eastAsia="仿宋" w:cs="仿宋"/>
                <w:sz w:val="24"/>
                <w:szCs w:val="24"/>
              </w:rPr>
            </w:pPr>
          </w:p>
          <w:p>
            <w:pPr>
              <w:spacing w:line="360" w:lineRule="auto"/>
              <w:jc w:val="center"/>
              <w:rPr>
                <w:rFonts w:hint="eastAsia" w:ascii="仿宋" w:hAnsi="仿宋" w:eastAsia="仿宋" w:cs="仿宋"/>
                <w:sz w:val="24"/>
                <w:szCs w:val="24"/>
              </w:rPr>
            </w:pP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EO：10.2</w:t>
            </w:r>
          </w:p>
          <w:p>
            <w:pPr>
              <w:spacing w:line="360" w:lineRule="auto"/>
              <w:jc w:val="center"/>
              <w:rPr>
                <w:rFonts w:hint="eastAsia" w:ascii="仿宋" w:hAnsi="仿宋" w:eastAsia="仿宋" w:cs="仿宋"/>
                <w:spacing w:val="-6"/>
                <w:sz w:val="24"/>
                <w:szCs w:val="24"/>
              </w:rPr>
            </w:pPr>
          </w:p>
        </w:tc>
        <w:tc>
          <w:tcPr>
            <w:tcW w:w="11097" w:type="dxa"/>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编制了《RX/QES-CX-26-2020</w:t>
            </w:r>
            <w:r>
              <w:rPr>
                <w:rFonts w:hint="eastAsia" w:ascii="仿宋" w:hAnsi="仿宋" w:eastAsia="仿宋" w:cs="仿宋"/>
                <w:sz w:val="24"/>
                <w:szCs w:val="24"/>
              </w:rPr>
              <w:tab/>
            </w:r>
            <w:r>
              <w:rPr>
                <w:rFonts w:hint="eastAsia" w:ascii="仿宋" w:hAnsi="仿宋" w:eastAsia="仿宋" w:cs="仿宋"/>
                <w:sz w:val="24"/>
                <w:szCs w:val="24"/>
              </w:rPr>
              <w:t xml:space="preserve">事件报告、调查与处理程序》，对纠正预防措施识别、评审、验证，事故事件报告、调查、处理等作了规定，其内容符合组织实际及标准要求。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查纠正措施实施情况：</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对内审中提出不合格项进行了原因分析,并制定、实施了纠正措施，并由内审员对所采取的纠正措施进行了验证，纠正措施有效，管理评审中发现的薄弱环节，分析了原因，采取了纠正措施。</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w:t>
            </w:r>
          </w:p>
          <w:p>
            <w:pPr>
              <w:tabs>
                <w:tab w:val="left" w:pos="6597"/>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企业纠正和预防措施的管理符合标准规定要求。</w:t>
            </w:r>
          </w:p>
        </w:tc>
        <w:tc>
          <w:tcPr>
            <w:tcW w:w="577" w:type="dxa"/>
          </w:tcPr>
          <w:p>
            <w:pP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668"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rPr>
              <w:t>EMS/OHSMS运行控制相关财务支出证据</w:t>
            </w:r>
          </w:p>
        </w:tc>
        <w:tc>
          <w:tcPr>
            <w:tcW w:w="1367" w:type="dxa"/>
            <w:vAlign w:val="top"/>
          </w:tcPr>
          <w:p>
            <w:pPr>
              <w:spacing w:line="360" w:lineRule="auto"/>
              <w:ind w:firstLine="480" w:firstLineChars="200"/>
              <w:rPr>
                <w:rFonts w:hint="eastAsia" w:ascii="仿宋" w:hAnsi="仿宋" w:eastAsia="仿宋" w:cs="仿宋"/>
                <w:sz w:val="24"/>
                <w:szCs w:val="24"/>
                <w:lang w:val="en-US" w:eastAsia="zh-CN"/>
              </w:rPr>
            </w:pPr>
          </w:p>
        </w:tc>
        <w:tc>
          <w:tcPr>
            <w:tcW w:w="11097" w:type="dxa"/>
            <w:vAlign w:val="top"/>
          </w:tcPr>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提供20</w:t>
            </w:r>
            <w:r>
              <w:rPr>
                <w:rFonts w:hint="eastAsia" w:ascii="仿宋" w:hAnsi="仿宋" w:eastAsia="仿宋" w:cs="仿宋"/>
                <w:sz w:val="24"/>
                <w:szCs w:val="24"/>
                <w:lang w:val="en-US" w:eastAsia="zh-CN"/>
              </w:rPr>
              <w:t>22</w:t>
            </w:r>
            <w:r>
              <w:rPr>
                <w:rFonts w:hint="eastAsia" w:ascii="仿宋" w:hAnsi="仿宋" w:eastAsia="仿宋" w:cs="仿宋"/>
                <w:sz w:val="24"/>
                <w:szCs w:val="24"/>
              </w:rPr>
              <w:t>年年度安全环保投入清单：支出项目有灭火器等消防器材、培训费、消防安全培训等共计</w:t>
            </w:r>
            <w:r>
              <w:rPr>
                <w:rFonts w:hint="eastAsia" w:ascii="仿宋" w:hAnsi="仿宋" w:eastAsia="仿宋" w:cs="仿宋"/>
                <w:sz w:val="24"/>
                <w:szCs w:val="24"/>
                <w:lang w:val="en-US" w:eastAsia="zh-CN"/>
              </w:rPr>
              <w:t>69200</w:t>
            </w:r>
            <w:r>
              <w:rPr>
                <w:rFonts w:hint="eastAsia" w:ascii="仿宋" w:hAnsi="仿宋" w:eastAsia="仿宋" w:cs="仿宋"/>
                <w:sz w:val="24"/>
                <w:szCs w:val="24"/>
              </w:rPr>
              <w:t>元左右。</w:t>
            </w:r>
          </w:p>
        </w:tc>
        <w:tc>
          <w:tcPr>
            <w:tcW w:w="577" w:type="dxa"/>
          </w:tcPr>
          <w:p>
            <w:pPr>
              <w:rPr>
                <w:rFonts w:hint="eastAsia" w:ascii="仿宋" w:hAnsi="仿宋" w:eastAsia="仿宋" w:cs="仿宋"/>
                <w:color w:val="000000" w:themeColor="text1"/>
                <w:sz w:val="24"/>
                <w:szCs w:val="24"/>
                <w:lang w:val="en-US" w:eastAsia="zh-CN"/>
              </w:rPr>
            </w:pPr>
          </w:p>
        </w:tc>
      </w:tr>
    </w:tbl>
    <w:p>
      <w:pPr>
        <w:rPr>
          <w:rFonts w:ascii="楷体" w:hAnsi="楷体" w:eastAsia="楷体"/>
          <w:sz w:val="24"/>
          <w:szCs w:val="24"/>
        </w:rPr>
      </w:pPr>
    </w:p>
    <w:p>
      <w:pPr>
        <w:pStyle w:val="7"/>
        <w:rPr>
          <w:rFonts w:ascii="楷体" w:hAnsi="楷体" w:eastAsia="楷体"/>
          <w:sz w:val="24"/>
          <w:szCs w:val="24"/>
        </w:rPr>
      </w:pPr>
      <w:r>
        <w:rPr>
          <w:rFonts w:hint="eastAsia" w:ascii="楷体" w:hAnsi="楷体" w:eastAsia="楷体"/>
          <w:sz w:val="24"/>
          <w:szCs w:val="24"/>
        </w:rPr>
        <w:t>说明：不符合标注N</w:t>
      </w: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8"/>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lkMDNiN2QzZTk4YTE3NjNiM2I5OTI4Y2YxNGYyZmIifQ=="/>
  </w:docVars>
  <w:rsids>
    <w:rsidRoot w:val="00000000"/>
    <w:rsid w:val="14583FEA"/>
    <w:rsid w:val="14980491"/>
    <w:rsid w:val="14B31F1F"/>
    <w:rsid w:val="2A3737CF"/>
    <w:rsid w:val="325E5865"/>
    <w:rsid w:val="3753783D"/>
    <w:rsid w:val="383C7A06"/>
    <w:rsid w:val="38435211"/>
    <w:rsid w:val="3A600288"/>
    <w:rsid w:val="492228E9"/>
    <w:rsid w:val="49A27CCC"/>
    <w:rsid w:val="4B19057F"/>
    <w:rsid w:val="559E0243"/>
    <w:rsid w:val="6734663A"/>
    <w:rsid w:val="7003339F"/>
    <w:rsid w:val="7D8A13ED"/>
    <w:rsid w:val="7DC65E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9"/>
    <w:pPr>
      <w:keepNext/>
      <w:tabs>
        <w:tab w:val="left" w:pos="3510"/>
        <w:tab w:val="left" w:pos="3585"/>
        <w:tab w:val="center" w:pos="4410"/>
        <w:tab w:val="left" w:pos="4620"/>
        <w:tab w:val="left" w:pos="4830"/>
        <w:tab w:val="left" w:pos="5580"/>
      </w:tabs>
      <w:outlineLvl w:val="1"/>
    </w:pPr>
    <w:rPr>
      <w:b/>
      <w:bCs/>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w:basedOn w:val="1"/>
    <w:unhideWhenUsed/>
    <w:qFormat/>
    <w:uiPriority w:val="99"/>
    <w:pPr>
      <w:spacing w:line="420" w:lineRule="exact"/>
    </w:pPr>
    <w:rPr>
      <w:sz w:val="24"/>
    </w:r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99"/>
    <w:rPr>
      <w:rFonts w:ascii="Times New Roman" w:hAnsi="Times New Roman" w:eastAsia="宋体" w:cs="Times New Roman"/>
      <w:sz w:val="18"/>
      <w:szCs w:val="18"/>
    </w:rPr>
  </w:style>
  <w:style w:type="character" w:customStyle="1" w:styleId="12">
    <w:name w:val="页脚 Char"/>
    <w:basedOn w:val="10"/>
    <w:link w:val="7"/>
    <w:qFormat/>
    <w:uiPriority w:val="99"/>
    <w:rPr>
      <w:rFonts w:ascii="Times New Roman" w:hAnsi="Times New Roman" w:eastAsia="宋体" w:cs="Times New Roman"/>
      <w:sz w:val="18"/>
      <w:szCs w:val="18"/>
    </w:rPr>
  </w:style>
  <w:style w:type="character" w:customStyle="1" w:styleId="13">
    <w:name w:val="批注框文本 Char"/>
    <w:basedOn w:val="10"/>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5028</Words>
  <Characters>5360</Characters>
  <Lines>1</Lines>
  <Paragraphs>1</Paragraphs>
  <TotalTime>0</TotalTime>
  <ScaleCrop>false</ScaleCrop>
  <LinksUpToDate>false</LinksUpToDate>
  <CharactersWithSpaces>5434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强子</cp:lastModifiedBy>
  <dcterms:modified xsi:type="dcterms:W3CDTF">2022-07-17T02:15:31Z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2052-11.1.0.11830</vt:lpwstr>
  </property>
</Properties>
</file>