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hint="eastAsia" w:ascii="仿宋" w:hAnsi="仿宋" w:eastAsia="仿宋" w:cs="仿宋"/>
                <w:sz w:val="24"/>
                <w:szCs w:val="24"/>
              </w:rPr>
            </w:pPr>
            <w:r>
              <w:rPr>
                <w:rFonts w:hint="eastAsia" w:ascii="仿宋" w:hAnsi="仿宋" w:eastAsia="仿宋" w:cs="仿宋"/>
                <w:sz w:val="24"/>
                <w:szCs w:val="24"/>
              </w:rPr>
              <w:t>过程与活动、</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抽样计划</w:t>
            </w:r>
          </w:p>
        </w:tc>
        <w:tc>
          <w:tcPr>
            <w:tcW w:w="1311" w:type="dxa"/>
            <w:vMerge w:val="restart"/>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涉及条款</w:t>
            </w:r>
          </w:p>
        </w:tc>
        <w:tc>
          <w:tcPr>
            <w:tcW w:w="10004" w:type="dxa"/>
            <w:vAlign w:val="center"/>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受审核部门：供销部     主管领导：尹龙飞     陪同人员：</w:t>
            </w:r>
            <w:r>
              <w:rPr>
                <w:rFonts w:hint="eastAsia" w:ascii="仿宋" w:hAnsi="仿宋" w:eastAsia="仿宋" w:cs="仿宋"/>
                <w:sz w:val="24"/>
                <w:szCs w:val="24"/>
                <w:lang w:val="en-US" w:eastAsia="zh-CN"/>
              </w:rPr>
              <w:t>尹振江</w:t>
            </w:r>
            <w:bookmarkStart w:id="0" w:name="_GoBack"/>
            <w:bookmarkEnd w:id="0"/>
          </w:p>
        </w:tc>
        <w:tc>
          <w:tcPr>
            <w:tcW w:w="1585" w:type="dxa"/>
            <w:vMerge w:val="restart"/>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hint="eastAsia" w:ascii="仿宋" w:hAnsi="仿宋" w:eastAsia="仿宋" w:cs="仿宋"/>
                <w:sz w:val="24"/>
                <w:szCs w:val="24"/>
              </w:rPr>
            </w:pPr>
          </w:p>
        </w:tc>
        <w:tc>
          <w:tcPr>
            <w:tcW w:w="1311" w:type="dxa"/>
            <w:vMerge w:val="continue"/>
            <w:vAlign w:val="center"/>
          </w:tcPr>
          <w:p>
            <w:pPr>
              <w:spacing w:line="360" w:lineRule="auto"/>
              <w:rPr>
                <w:rFonts w:hint="eastAsia" w:ascii="仿宋" w:hAnsi="仿宋" w:eastAsia="仿宋" w:cs="仿宋"/>
                <w:sz w:val="24"/>
                <w:szCs w:val="24"/>
              </w:rPr>
            </w:pPr>
          </w:p>
        </w:tc>
        <w:tc>
          <w:tcPr>
            <w:tcW w:w="10004" w:type="dxa"/>
            <w:vAlign w:val="center"/>
          </w:tcPr>
          <w:p>
            <w:pPr>
              <w:spacing w:before="120" w:line="360" w:lineRule="auto"/>
              <w:rPr>
                <w:rFonts w:hint="eastAsia" w:ascii="仿宋" w:hAnsi="仿宋" w:eastAsia="仿宋" w:cs="仿宋"/>
                <w:sz w:val="24"/>
                <w:szCs w:val="24"/>
              </w:rPr>
            </w:pPr>
            <w:r>
              <w:rPr>
                <w:rFonts w:hint="eastAsia" w:ascii="仿宋" w:hAnsi="仿宋" w:eastAsia="仿宋" w:cs="仿宋"/>
                <w:sz w:val="24"/>
                <w:szCs w:val="24"/>
              </w:rPr>
              <w:t>审核员：</w:t>
            </w:r>
            <w:r>
              <w:rPr>
                <w:rFonts w:hint="eastAsia" w:ascii="仿宋" w:hAnsi="仿宋" w:eastAsia="仿宋" w:cs="仿宋"/>
                <w:sz w:val="24"/>
                <w:szCs w:val="24"/>
                <w:lang w:val="en-US" w:eastAsia="zh-CN"/>
              </w:rPr>
              <w:t>强兴</w:t>
            </w:r>
            <w:r>
              <w:rPr>
                <w:rFonts w:hint="eastAsia" w:ascii="仿宋" w:hAnsi="仿宋" w:eastAsia="仿宋" w:cs="仿宋"/>
                <w:sz w:val="24"/>
                <w:szCs w:val="24"/>
              </w:rPr>
              <w:t xml:space="preserve">       审核时间：</w:t>
            </w:r>
            <w:r>
              <w:rPr>
                <w:rFonts w:hint="eastAsia" w:ascii="仿宋" w:hAnsi="仿宋" w:eastAsia="仿宋" w:cs="仿宋"/>
                <w:sz w:val="24"/>
                <w:szCs w:val="24"/>
                <w:lang w:val="en-US" w:eastAsia="zh-CN"/>
              </w:rPr>
              <w:t>2022.7.2</w:t>
            </w:r>
          </w:p>
        </w:tc>
        <w:tc>
          <w:tcPr>
            <w:tcW w:w="1585" w:type="dxa"/>
            <w:vMerge w:val="continue"/>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hint="eastAsia" w:ascii="仿宋" w:hAnsi="仿宋" w:eastAsia="仿宋" w:cs="仿宋"/>
                <w:sz w:val="24"/>
                <w:szCs w:val="24"/>
              </w:rPr>
            </w:pPr>
          </w:p>
        </w:tc>
        <w:tc>
          <w:tcPr>
            <w:tcW w:w="1311" w:type="dxa"/>
            <w:vMerge w:val="continue"/>
            <w:vAlign w:val="center"/>
          </w:tcPr>
          <w:p>
            <w:pPr>
              <w:spacing w:line="360" w:lineRule="auto"/>
              <w:rPr>
                <w:rFonts w:hint="eastAsia" w:ascii="仿宋" w:hAnsi="仿宋" w:eastAsia="仿宋" w:cs="仿宋"/>
                <w:sz w:val="24"/>
                <w:szCs w:val="24"/>
              </w:rPr>
            </w:pPr>
          </w:p>
        </w:tc>
        <w:tc>
          <w:tcPr>
            <w:tcW w:w="10004" w:type="dxa"/>
            <w:vAlign w:val="center"/>
          </w:tcPr>
          <w:p>
            <w:pPr>
              <w:adjustRightInd w:val="0"/>
              <w:snapToGrid w:val="0"/>
              <w:ind w:right="105" w:rightChars="50"/>
              <w:jc w:val="left"/>
              <w:textAlignment w:val="baseline"/>
              <w:rPr>
                <w:rFonts w:hint="eastAsia" w:ascii="仿宋" w:hAnsi="仿宋" w:eastAsia="仿宋" w:cs="仿宋"/>
                <w:szCs w:val="21"/>
              </w:rPr>
            </w:pPr>
            <w:r>
              <w:rPr>
                <w:rFonts w:hint="eastAsia" w:ascii="仿宋" w:hAnsi="仿宋" w:eastAsia="仿宋" w:cs="仿宋"/>
                <w:szCs w:val="21"/>
              </w:rPr>
              <w:t>审核条款：</w:t>
            </w:r>
          </w:p>
          <w:p>
            <w:pPr>
              <w:rPr>
                <w:rFonts w:hint="eastAsia" w:ascii="仿宋" w:hAnsi="仿宋" w:eastAsia="仿宋" w:cs="仿宋"/>
                <w:szCs w:val="21"/>
              </w:rPr>
            </w:pPr>
            <w:r>
              <w:rPr>
                <w:rFonts w:hint="eastAsia" w:ascii="仿宋" w:hAnsi="仿宋" w:eastAsia="仿宋" w:cs="仿宋"/>
                <w:szCs w:val="21"/>
              </w:rPr>
              <w:t>E/OMS: 5.3组织的岗位、职责和权限、6.2环境与职业健康安全目标、6.1.2环境因素/危险源辨识与评价，</w:t>
            </w:r>
          </w:p>
        </w:tc>
        <w:tc>
          <w:tcPr>
            <w:tcW w:w="1585" w:type="dxa"/>
            <w:vMerge w:val="continue"/>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rPr>
                <w:rFonts w:hint="eastAsia" w:ascii="仿宋" w:hAnsi="仿宋" w:eastAsia="仿宋" w:cs="仿宋"/>
                <w:b/>
                <w:sz w:val="24"/>
                <w:szCs w:val="24"/>
              </w:rPr>
            </w:pPr>
            <w:r>
              <w:rPr>
                <w:rFonts w:hint="eastAsia" w:ascii="仿宋" w:hAnsi="仿宋" w:eastAsia="仿宋" w:cs="仿宋"/>
                <w:sz w:val="24"/>
                <w:szCs w:val="24"/>
              </w:rPr>
              <w:t>组织的岗位、职责、和权限</w:t>
            </w:r>
          </w:p>
        </w:tc>
        <w:tc>
          <w:tcPr>
            <w:tcW w:w="1311" w:type="dxa"/>
            <w:vAlign w:val="center"/>
          </w:tcPr>
          <w:p>
            <w:pPr>
              <w:rPr>
                <w:rFonts w:hint="eastAsia" w:ascii="仿宋" w:hAnsi="仿宋" w:eastAsia="仿宋" w:cs="仿宋"/>
                <w:b/>
                <w:sz w:val="24"/>
                <w:szCs w:val="24"/>
              </w:rPr>
            </w:pPr>
            <w:r>
              <w:rPr>
                <w:rFonts w:hint="eastAsia" w:ascii="仿宋" w:hAnsi="仿宋" w:eastAsia="仿宋" w:cs="仿宋"/>
                <w:sz w:val="24"/>
                <w:szCs w:val="24"/>
              </w:rPr>
              <w:t>EO：5.3</w:t>
            </w:r>
          </w:p>
        </w:tc>
        <w:tc>
          <w:tcPr>
            <w:tcW w:w="10004" w:type="dxa"/>
            <w:vAlign w:val="center"/>
          </w:tcPr>
          <w:p>
            <w:pPr>
              <w:spacing w:line="360" w:lineRule="auto"/>
              <w:rPr>
                <w:rFonts w:hint="eastAsia" w:ascii="仿宋" w:hAnsi="仿宋" w:eastAsia="仿宋" w:cs="仿宋"/>
                <w:b/>
                <w:sz w:val="24"/>
                <w:szCs w:val="24"/>
              </w:rPr>
            </w:pPr>
            <w:r>
              <w:rPr>
                <w:rFonts w:hint="eastAsia" w:ascii="仿宋" w:hAnsi="仿宋" w:eastAsia="仿宋" w:cs="仿宋"/>
                <w:sz w:val="24"/>
                <w:szCs w:val="24"/>
              </w:rPr>
              <w:t>主要负责：供方管理控制、采购控制，与顾客有关的过程控制、负责顾客满意度调查、顾客财产、交付后活动，部门环境因素和危险源辨识评价及运行控制，相关方施加影响等。</w:t>
            </w:r>
          </w:p>
        </w:tc>
        <w:tc>
          <w:tcPr>
            <w:tcW w:w="1585"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目标 </w:t>
            </w:r>
          </w:p>
        </w:tc>
        <w:tc>
          <w:tcPr>
            <w:tcW w:w="1311" w:type="dxa"/>
            <w:vAlign w:val="center"/>
          </w:tcPr>
          <w:p>
            <w:pPr>
              <w:rPr>
                <w:rFonts w:hint="eastAsia" w:ascii="仿宋" w:hAnsi="仿宋" w:eastAsia="仿宋" w:cs="仿宋"/>
                <w:sz w:val="24"/>
                <w:szCs w:val="24"/>
              </w:rPr>
            </w:pPr>
            <w:r>
              <w:rPr>
                <w:rFonts w:hint="eastAsia" w:ascii="仿宋" w:hAnsi="仿宋" w:eastAsia="仿宋" w:cs="仿宋"/>
                <w:sz w:val="24"/>
                <w:szCs w:val="24"/>
              </w:rPr>
              <w:t>EO6.2</w:t>
            </w:r>
          </w:p>
        </w:tc>
        <w:tc>
          <w:tcPr>
            <w:tcW w:w="10004"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部门目标：  </w:t>
            </w:r>
          </w:p>
          <w:p>
            <w:pPr>
              <w:pStyle w:val="12"/>
              <w:spacing w:line="360" w:lineRule="auto"/>
              <w:jc w:val="lef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火灾事故0；</w:t>
            </w:r>
          </w:p>
          <w:p>
            <w:pPr>
              <w:spacing w:line="360" w:lineRule="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无重伤事故，轻伤事故不超过2起/年；</w:t>
            </w:r>
          </w:p>
          <w:p>
            <w:pPr>
              <w:spacing w:line="360" w:lineRule="auto"/>
              <w:rPr>
                <w:rFonts w:hint="eastAsia" w:ascii="仿宋" w:hAnsi="仿宋" w:eastAsia="仿宋" w:cs="仿宋"/>
                <w:sz w:val="24"/>
              </w:rPr>
            </w:pPr>
            <w:r>
              <w:rPr>
                <w:rFonts w:hint="eastAsia" w:ascii="仿宋" w:hAnsi="仿宋" w:eastAsia="仿宋" w:cs="仿宋"/>
                <w:sz w:val="24"/>
                <w:szCs w:val="24"/>
                <w:lang w:val="en-US" w:eastAsia="zh-CN"/>
              </w:rPr>
              <w:t>3、无重大交通事故。</w:t>
            </w:r>
          </w:p>
          <w:p>
            <w:pPr>
              <w:spacing w:line="360" w:lineRule="auto"/>
              <w:rPr>
                <w:rFonts w:hint="eastAsia" w:ascii="仿宋" w:hAnsi="仿宋" w:eastAsia="仿宋" w:cs="仿宋"/>
                <w:sz w:val="24"/>
                <w:szCs w:val="24"/>
              </w:rPr>
            </w:pPr>
            <w:r>
              <w:rPr>
                <w:rFonts w:hint="eastAsia" w:ascii="仿宋" w:hAnsi="仿宋" w:eastAsia="仿宋" w:cs="仿宋"/>
                <w:sz w:val="24"/>
                <w:szCs w:val="24"/>
              </w:rPr>
              <w:t>考核情况，202</w:t>
            </w:r>
            <w:r>
              <w:rPr>
                <w:rFonts w:hint="eastAsia" w:ascii="仿宋" w:hAnsi="仿宋" w:eastAsia="仿宋" w:cs="仿宋"/>
                <w:sz w:val="24"/>
                <w:szCs w:val="24"/>
                <w:lang w:val="en-US" w:eastAsia="zh-CN"/>
              </w:rPr>
              <w:t>2.5</w:t>
            </w:r>
            <w:r>
              <w:rPr>
                <w:rFonts w:hint="eastAsia" w:ascii="仿宋" w:hAnsi="仿宋" w:eastAsia="仿宋" w:cs="仿宋"/>
                <w:sz w:val="24"/>
                <w:szCs w:val="24"/>
              </w:rPr>
              <w:t>.30日经查已完成。</w:t>
            </w:r>
          </w:p>
        </w:tc>
        <w:tc>
          <w:tcPr>
            <w:tcW w:w="1585"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环境因素、危险源辨识与评价</w:t>
            </w:r>
          </w:p>
          <w:p>
            <w:pPr>
              <w:rPr>
                <w:rFonts w:hint="eastAsia" w:ascii="仿宋" w:hAnsi="仿宋" w:eastAsia="仿宋" w:cs="仿宋"/>
                <w:sz w:val="24"/>
                <w:szCs w:val="24"/>
              </w:rPr>
            </w:pPr>
          </w:p>
        </w:tc>
        <w:tc>
          <w:tcPr>
            <w:tcW w:w="1311" w:type="dxa"/>
            <w:vAlign w:val="center"/>
          </w:tcPr>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EO6.1.2 </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tc>
        <w:tc>
          <w:tcPr>
            <w:tcW w:w="10004" w:type="dxa"/>
            <w:vAlign w:val="center"/>
          </w:tcPr>
          <w:p>
            <w:pPr>
              <w:tabs>
                <w:tab w:val="left" w:pos="6597"/>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提供了“环境因素识别评价表”，识别了体系覆盖的各过程、部门的环境因素，具体如下：如办公过程中的水电消耗、办公用品消耗、墨盒废弃、生活废水排放等；运输过程中的汽油消耗、尾气的排放等环境因素。识别时能考虑到管件、保温管道及管件、钢管、法兰销售的特点。</w:t>
            </w:r>
          </w:p>
          <w:p>
            <w:pPr>
              <w:tabs>
                <w:tab w:val="left" w:pos="6597"/>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现场提供了“危险源辨识及风险评价表”，分别按照各部门涉及的业务领域进行了识别，识别情况如下：人离开未断电源火灾，钢管吊放操作不当人身伤害，无证开车，相关方进厂未遵守严禁烟火规定火灾，库房吸烟或其他火源火灾，相关方钢管或产品不合理装卸人身伤害等危险源。但是识别不够细致、充分，现场交流。</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经识别部门重要环境因素及不可接受风险为：固废排放、火灾、触电、意外人身伤害等，对重要环境因素及不可接受风险组织采用指标方案、运行控制、教育培训、监督检查、制定应急预案等手段予以控制。</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控制手段和环境影响及风险相适应。</w:t>
            </w:r>
          </w:p>
          <w:p>
            <w:pPr>
              <w:spacing w:line="360" w:lineRule="auto"/>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部门识别和评价基本充分，符合规定要求。</w:t>
            </w:r>
          </w:p>
        </w:tc>
        <w:tc>
          <w:tcPr>
            <w:tcW w:w="1585"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809" w:type="dxa"/>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运行策划和控制</w:t>
            </w:r>
          </w:p>
        </w:tc>
        <w:tc>
          <w:tcPr>
            <w:tcW w:w="1311" w:type="dxa"/>
            <w:vAlign w:val="center"/>
          </w:tcPr>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EO8.1 </w:t>
            </w:r>
          </w:p>
          <w:p>
            <w:pPr>
              <w:spacing w:line="360" w:lineRule="auto"/>
              <w:rPr>
                <w:rFonts w:hint="eastAsia" w:ascii="仿宋" w:hAnsi="仿宋" w:eastAsia="仿宋" w:cs="仿宋"/>
                <w:kern w:val="2"/>
                <w:sz w:val="24"/>
                <w:szCs w:val="24"/>
                <w:lang w:val="en-US" w:eastAsia="zh-CN" w:bidi="ar-SA"/>
              </w:rPr>
            </w:pPr>
          </w:p>
        </w:tc>
        <w:tc>
          <w:tcPr>
            <w:tcW w:w="10004" w:type="dxa"/>
            <w:vAlign w:val="center"/>
          </w:tcPr>
          <w:p>
            <w:pPr>
              <w:tabs>
                <w:tab w:val="left" w:pos="6597"/>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现场巡视，本部门办公现场光照、温度适宜，未开启照明和空调，无水龙头跑冒滴漏现象。打印纸张非重要文件双面打印，垃圾箱分类存放，电器、线路完好无破损，纸张、用电、安全等通过日常培训提高员工节能、安全意识，通过电话、传真等形式告知客户组织的有关要求。</w:t>
            </w:r>
          </w:p>
          <w:p>
            <w:pPr>
              <w:tabs>
                <w:tab w:val="left" w:pos="6597"/>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日常对汽车做好保养，定期年检，防止交通事故的发生。</w:t>
            </w:r>
          </w:p>
          <w:p>
            <w:pPr>
              <w:tabs>
                <w:tab w:val="left" w:pos="6597"/>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查见部门检查记录，按既定的项目及频次对相关部位实施监控，从检查情况来看，各检查项均良好，见办公室EO9.1.1条款。</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建立并实施了《RX/QES-CX-23-2020对相关方的管理程序》，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销部向供应商发放总经理王梦思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在装卸车时，要求装运人员必须穿戴劳动防护用品，合理使用搬运工具。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运输使用物流公司运输，货物少量自己运输，选择车况较好的车辆，防止超高，超重，超宽；司机每4小时倒班作业，货物装卸时要求戴手套，轻拿轻放。</w:t>
            </w:r>
          </w:p>
          <w:p>
            <w:pPr>
              <w:tabs>
                <w:tab w:val="left" w:pos="6597"/>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外出业务洽谈时注意饮食避免酗酒，乘坐公共交通工具，尽量不开车，做好防疫防控。</w:t>
            </w:r>
          </w:p>
          <w:p>
            <w:pPr>
              <w:tabs>
                <w:tab w:val="left" w:pos="6597"/>
              </w:tabs>
              <w:spacing w:line="360" w:lineRule="auto"/>
              <w:rPr>
                <w:rFonts w:hint="eastAsia" w:ascii="仿宋" w:hAnsi="仿宋" w:eastAsia="仿宋" w:cs="仿宋"/>
                <w:color w:val="0070C0"/>
                <w:kern w:val="2"/>
                <w:sz w:val="24"/>
                <w:szCs w:val="24"/>
                <w:lang w:val="en-US" w:eastAsia="zh-CN" w:bidi="ar-SA"/>
              </w:rPr>
            </w:pPr>
            <w:r>
              <w:rPr>
                <w:rFonts w:hint="eastAsia" w:ascii="仿宋" w:hAnsi="仿宋" w:eastAsia="仿宋" w:cs="仿宋"/>
                <w:sz w:val="24"/>
                <w:szCs w:val="24"/>
              </w:rPr>
              <w:t xml:space="preserve">    企业供销部的管理控制基本符合要求。</w:t>
            </w:r>
          </w:p>
        </w:tc>
        <w:tc>
          <w:tcPr>
            <w:tcW w:w="1585" w:type="dxa"/>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0" w:type="auto"/>
            <w:vAlign w:val="center"/>
          </w:tcPr>
          <w:p>
            <w:pPr>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应急准备和响应</w:t>
            </w:r>
          </w:p>
        </w:tc>
        <w:tc>
          <w:tcPr>
            <w:tcW w:w="0" w:type="auto"/>
            <w:vAlign w:val="center"/>
          </w:tcPr>
          <w:p>
            <w:pPr>
              <w:tabs>
                <w:tab w:val="left" w:pos="218"/>
              </w:tabs>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EO8.2</w:t>
            </w:r>
          </w:p>
          <w:p>
            <w:pPr>
              <w:spacing w:line="360" w:lineRule="auto"/>
              <w:rPr>
                <w:rFonts w:hint="eastAsia" w:ascii="仿宋" w:hAnsi="仿宋" w:eastAsia="仿宋" w:cs="仿宋"/>
                <w:color w:val="000000"/>
                <w:kern w:val="2"/>
                <w:sz w:val="24"/>
                <w:szCs w:val="24"/>
                <w:lang w:val="en-US" w:eastAsia="zh-CN" w:bidi="ar-SA"/>
              </w:rPr>
            </w:pPr>
          </w:p>
        </w:tc>
        <w:tc>
          <w:tcPr>
            <w:tcW w:w="0" w:type="auto"/>
            <w:vAlign w:val="top"/>
          </w:tcPr>
          <w:p>
            <w:pPr>
              <w:tabs>
                <w:tab w:val="left" w:pos="6597"/>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编制了</w:t>
            </w:r>
            <w:r>
              <w:rPr>
                <w:rFonts w:hint="eastAsia" w:ascii="仿宋" w:hAnsi="仿宋" w:eastAsia="仿宋" w:cs="仿宋"/>
                <w:sz w:val="24"/>
                <w:szCs w:val="24"/>
              </w:rPr>
              <w:t>《RX/QES-CX-24-2020应急准备和响应控制程序》和火灾、触电、人身伤害等应急预案</w:t>
            </w:r>
            <w:r>
              <w:rPr>
                <w:rFonts w:hint="eastAsia" w:ascii="仿宋" w:hAnsi="仿宋" w:eastAsia="仿宋" w:cs="仿宋"/>
                <w:color w:val="000000"/>
                <w:sz w:val="24"/>
                <w:szCs w:val="24"/>
              </w:rPr>
              <w:t>，其中包括目的、适用范围、职责、应急领导小组成员职责、程序、现场应急措施等，相关内容基本充分。</w:t>
            </w:r>
          </w:p>
          <w:p>
            <w:pPr>
              <w:spacing w:line="360" w:lineRule="auto"/>
              <w:ind w:firstLine="315" w:firstLineChars="150"/>
              <w:rPr>
                <w:rFonts w:hint="eastAsia" w:ascii="仿宋" w:hAnsi="仿宋" w:eastAsia="仿宋" w:cs="仿宋"/>
                <w:color w:val="000000"/>
                <w:sz w:val="24"/>
                <w:szCs w:val="24"/>
              </w:rPr>
            </w:pP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24</w:t>
            </w:r>
            <w:r>
              <w:rPr>
                <w:rFonts w:hint="eastAsia"/>
              </w:rPr>
              <w:t>日</w:t>
            </w:r>
            <w:r>
              <w:rPr>
                <w:rFonts w:hint="eastAsia" w:ascii="仿宋" w:hAnsi="仿宋" w:eastAsia="仿宋" w:cs="仿宋"/>
                <w:color w:val="000000"/>
                <w:sz w:val="24"/>
                <w:szCs w:val="24"/>
              </w:rPr>
              <w:t>日参加了由办公室组织的消防演练。</w:t>
            </w:r>
          </w:p>
          <w:p>
            <w:pPr>
              <w:spacing w:line="360" w:lineRule="auto"/>
              <w:ind w:firstLine="315" w:firstLineChars="150"/>
              <w:rPr>
                <w:rFonts w:hint="eastAsia" w:ascii="仿宋" w:hAnsi="仿宋" w:eastAsia="仿宋" w:cs="仿宋"/>
                <w:color w:val="000000"/>
                <w:sz w:val="24"/>
                <w:szCs w:val="24"/>
              </w:rPr>
            </w:pP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16</w:t>
            </w:r>
            <w:r>
              <w:rPr>
                <w:rFonts w:hint="eastAsia"/>
              </w:rPr>
              <w:t>日</w:t>
            </w:r>
            <w:r>
              <w:rPr>
                <w:rFonts w:hint="eastAsia" w:ascii="仿宋" w:hAnsi="仿宋" w:eastAsia="仿宋" w:cs="仿宋"/>
                <w:color w:val="000000"/>
                <w:sz w:val="24"/>
                <w:szCs w:val="24"/>
              </w:rPr>
              <w:t>参加了由办公室组织的触电应急预案演练。</w:t>
            </w:r>
          </w:p>
          <w:p>
            <w:pPr>
              <w:spacing w:before="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现场查看办公区配备消防器材，状态有效。</w:t>
            </w:r>
          </w:p>
          <w:p>
            <w:pPr>
              <w:spacing w:line="360" w:lineRule="auto"/>
              <w:ind w:firstLine="360" w:firstLineChars="15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自体系运行以来未发生应急情况。</w:t>
            </w:r>
          </w:p>
        </w:tc>
        <w:tc>
          <w:tcPr>
            <w:tcW w:w="0" w:type="auto"/>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符合</w:t>
            </w: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4"/>
        <w:rPr>
          <w:rFonts w:ascii="楷体" w:hAnsi="楷体" w:eastAsia="楷体"/>
        </w:rPr>
      </w:pPr>
      <w:r>
        <w:rPr>
          <w:rFonts w:hint="eastAsia" w:ascii="楷体" w:hAnsi="楷体" w:eastAsia="楷体"/>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000000"/>
    <w:rsid w:val="08654F8D"/>
    <w:rsid w:val="0D840928"/>
    <w:rsid w:val="1EC45B46"/>
    <w:rsid w:val="3466712A"/>
    <w:rsid w:val="38435211"/>
    <w:rsid w:val="501D5EB6"/>
    <w:rsid w:val="530C451E"/>
    <w:rsid w:val="6124141B"/>
    <w:rsid w:val="736C098C"/>
    <w:rsid w:val="784842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1370</Words>
  <Characters>1465</Characters>
  <Lines>1</Lines>
  <Paragraphs>1</Paragraphs>
  <TotalTime>0</TotalTime>
  <ScaleCrop>false</ScaleCrop>
  <LinksUpToDate>false</LinksUpToDate>
  <CharactersWithSpaces>1494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2022-07-17T01:17:44Z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2052-11.1.0.11830</vt:lpwstr>
  </property>
</Properties>
</file>