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楷体" w:hAnsi="楷体" w:eastAsia="楷体"/>
          <w:bCs/>
          <w:sz w:val="36"/>
          <w:szCs w:val="36"/>
        </w:rPr>
      </w:pPr>
      <w:r>
        <w:rPr>
          <w:rFonts w:hint="eastAsia" w:ascii="楷体" w:hAnsi="楷体" w:eastAsia="楷体"/>
          <w:bCs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1056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涉及条款</w:t>
            </w:r>
          </w:p>
        </w:tc>
        <w:tc>
          <w:tcPr>
            <w:tcW w:w="11056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受审核部门：质检部     主管领导：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 陪同人员：刘子平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1056" w:type="dxa"/>
            <w:vAlign w:val="center"/>
          </w:tcPr>
          <w:p>
            <w:pPr>
              <w:spacing w:before="12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强兴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  审核时间：202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2.6.28</w:t>
            </w:r>
          </w:p>
        </w:tc>
        <w:tc>
          <w:tcPr>
            <w:tcW w:w="993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1056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审核条款：QMS:5.3组织的岗位、职责和权限、6.2质量目标、7.1.5监视和测量资源、8.6产品和服务的放行、8.7不合格输出的控制</w:t>
            </w:r>
          </w:p>
        </w:tc>
        <w:tc>
          <w:tcPr>
            <w:tcW w:w="993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组织的岗位、职责和权限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 5.3</w:t>
            </w:r>
          </w:p>
        </w:tc>
        <w:tc>
          <w:tcPr>
            <w:tcW w:w="11056" w:type="dxa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质检部主要作用、职责和权限包括:负责计量设备管理、产品检验，不合格品管理。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质检部上述作用和职责、权限基本得到有效沟通和实施。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Q:6.2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部门目标：                 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检验差错率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≤3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‰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；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计量器具送检率100%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考核情况：202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月30日统计考核已完成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目标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93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监视和测量资源的控制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Q7.1.5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公司为确保产品监视和测量活动需要，提供并配备了超声波测厚仪、直读光谱仪、万能角度尺、便携式硬度计、游标卡尺，查检测仪器校准证书，未能提供，不符合要求，开具了不符合报告。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产品和服务的放行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Q8.6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1056" w:type="dxa"/>
          </w:tcPr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公司规定并对原材料、过程产品、成品实施检验。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252"/>
                <w:tab w:val="left" w:pos="432"/>
              </w:tabs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进货检验：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检验依据：公司制定的进货检验规程。入库前，通常采取验证供方产品规格尺寸、合格证和数量的方式，合格后方可入库。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抽查采购检验记录，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002655" cy="2084070"/>
                  <wp:effectExtent l="0" t="0" r="4445" b="11430"/>
                  <wp:docPr id="1" name="图片 1" descr="微信图片_2022071421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7142119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65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现场提供了供方管件锻坯质量证明书、钢管质量证明书</w:t>
            </w:r>
            <w:r>
              <w:rPr>
                <w:rFonts w:hint="eastAsia" w:ascii="仿宋" w:hAnsi="仿宋" w:eastAsia="仿宋" w:cs="仿宋"/>
                <w:color w:val="0070C0"/>
                <w:sz w:val="21"/>
                <w:szCs w:val="21"/>
              </w:rPr>
              <w:t>、法兰锻坯产品质量证明书。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未发生在供方处进行验证的情况，采购产品验证符合标准要求。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过程检验：检验依据：检验员依据检验规范和图纸进行检验。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2.4.12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日钻孔检验记录，对PL300B-16RF法兰孔径、孔中心圆直径、孔距按照图纸要求进行了检验，结果合格，检验员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55845" cy="1419860"/>
                  <wp:effectExtent l="0" t="0" r="8255" b="2540"/>
                  <wp:docPr id="2" name="图片 2" descr="法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法兰-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84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2.6.17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日法兰机加工检验记录，产品型号PL300B-16RF，对外径、内径、高度、台高、台径、厚度、坡口宽度按照图纸要求进行了检验，结果合格，检验员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808345" cy="1953260"/>
                  <wp:effectExtent l="0" t="0" r="8255" b="2540"/>
                  <wp:docPr id="3" name="图片 3" descr="法兰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法兰-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34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2.1.16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日DN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600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X70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弯头机加工检验记录，按照图纸要求进行了规格尺寸检验，结果合格，检验员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张振。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668010" cy="1995805"/>
                  <wp:effectExtent l="0" t="0" r="8890" b="10795"/>
                  <wp:docPr id="6" name="图片 6" descr="管件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管件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01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840" w:firstLineChars="400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2.3.29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三通机加工检验记录，型号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529*529*9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，对中心至端面、坡口角度、钝边、Q、P按照图纸要求进行了检验，结果合格，检验员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938395" cy="2218690"/>
                  <wp:effectExtent l="0" t="0" r="1905" b="3810"/>
                  <wp:docPr id="8" name="图片 8" descr="管件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管件-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395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抽查上述记录，均已按过程检验规范进行了规定项目的检验，通过现场的核对，均符合要求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。 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（三）成品检验：检验依据成品检验规范、图纸、国标，</w:t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提供成品检验单，</w:t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2.6.16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日法兰成品检验记录，产品规格PL300B-16RF，数量5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片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，执行标准H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G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/T20592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-2009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，对产品的外径、内径、厚度、孔中心圆直径、毛刺等进行了检验，结果合格，检验员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147945" cy="2199005"/>
                  <wp:effectExtent l="0" t="0" r="8255" b="10795"/>
                  <wp:docPr id="5" name="图片 5" descr="法兰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法兰-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2.5.20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日弯头成品检验记录，产品名称钢制无缝弯头，规格DN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600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X70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，数量5，对产品的外径、中心至端面、坡口角度、钝边、壁厚、圆度、标识、表面质量等进行了检验，结果合格，检验员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478145" cy="2479040"/>
                  <wp:effectExtent l="0" t="0" r="8255" b="10160"/>
                  <wp:docPr id="7" name="图片 7" descr="管件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管件-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14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抽查2021.3.19日法兰成品检验记录，产品规格14.3X8.56mm，数量5，执行标准HB/T20592，对产品的外径、内径、厚度、孔中心圆直径、毛刺等进行了检验，结果合格，检验员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抽查202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2.3.29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日三通成品检验记录，规格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φ529*529*9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，数量5，对产品的坡口外径、中心至端面、坡口角度、钝边、壁厚、圆度、Q、P、表面质量、标识等进行了检验，结果合格，检验员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  <w:bookmarkStart w:id="0" w:name="_GoBack"/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287645" cy="2008505"/>
                  <wp:effectExtent l="0" t="0" r="8255" b="10795"/>
                  <wp:docPr id="9" name="图片 9" descr="管件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管件-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64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spacing w:line="360" w:lineRule="auto"/>
              <w:ind w:left="34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另外提供《产品质量证明书》多份，每批出厂附带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(四)第三方检验：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未发生。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（五）产品销售过程的检验：</w:t>
            </w:r>
          </w:p>
          <w:p>
            <w:pPr>
              <w:spacing w:line="360" w:lineRule="auto"/>
              <w:ind w:right="-6" w:rightChars="-3" w:firstLine="482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公司制订了《销售服务作业指导书》等对产品销售及销售服务过程进行了质量控制的规定。</w:t>
            </w:r>
          </w:p>
          <w:p>
            <w:pPr>
              <w:spacing w:line="360" w:lineRule="auto"/>
              <w:ind w:right="-6" w:rightChars="-3" w:firstLine="482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抽见：202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日、2021年1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日、202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日的《销售服务过程检查记录表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》，检查考评涉及内容：询问营销人员对商品特性的了解程度，工作环境、照明、空调等设施的完好程度，销售合同是否及时评审，有没有死账、呆账，对供销部的相关作业文件是否熟悉，检查结果符合。</w:t>
            </w:r>
          </w:p>
          <w:p>
            <w:pPr>
              <w:spacing w:line="360" w:lineRule="auto"/>
              <w:ind w:right="-6" w:rightChars="-3" w:firstLine="482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售后服务客户考核，办公室定期对供销部业务员的售后服务业绩进行考核，办公室采用电话回访的方式进行考评。</w:t>
            </w:r>
          </w:p>
          <w:p>
            <w:pPr>
              <w:pStyle w:val="13"/>
              <w:spacing w:line="360" w:lineRule="auto"/>
              <w:ind w:left="0" w:firstLine="482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产品发货前开具发货清单，发货人员核对发货产品名称、规格、数量、外观质量状况，并与合同订单一一核对，无误后准许发货，客户验收合格后签字带回。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公司产品和销售服务的监视和测量控制基本符合规定要求。 </w:t>
            </w:r>
          </w:p>
        </w:tc>
        <w:tc>
          <w:tcPr>
            <w:tcW w:w="993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不合格输出的控制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Q8.7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公司有《不合格控制程序》，文件对不合格品的识别、控制方法和职责权限做出了规定，基本符合标准要求。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对采购不合格品实施拒收退货；对生产过程的不合格品实施返工或报废处理。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交付后产品未发现反馈不良情况，如有发生时采取换货的方式处理，组织不合格品控制基本有效。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</w:tbl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rPr>
          <w:rFonts w:ascii="楷体" w:hAnsi="楷体" w:eastAsia="楷体"/>
        </w:rPr>
      </w:pPr>
    </w:p>
    <w:p>
      <w:pPr>
        <w:pStyle w:val="4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p/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B74842"/>
    <w:multiLevelType w:val="multilevel"/>
    <w:tmpl w:val="7CB74842"/>
    <w:lvl w:ilvl="0" w:tentative="0">
      <w:start w:val="1"/>
      <w:numFmt w:val="japaneseCounting"/>
      <w:lvlText w:val="%1、"/>
      <w:lvlJc w:val="left"/>
      <w:pPr>
        <w:tabs>
          <w:tab w:val="left" w:pos="405"/>
        </w:tabs>
        <w:ind w:left="405" w:hanging="405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439467B"/>
    <w:rsid w:val="0561139B"/>
    <w:rsid w:val="05A277B6"/>
    <w:rsid w:val="147A75A3"/>
    <w:rsid w:val="161A2E0F"/>
    <w:rsid w:val="1DD51824"/>
    <w:rsid w:val="271460BA"/>
    <w:rsid w:val="35174B60"/>
    <w:rsid w:val="445410C7"/>
    <w:rsid w:val="44695036"/>
    <w:rsid w:val="4ABB39CC"/>
    <w:rsid w:val="53483EE2"/>
    <w:rsid w:val="54E655E3"/>
    <w:rsid w:val="559E30D3"/>
    <w:rsid w:val="56115EC5"/>
    <w:rsid w:val="63A844D6"/>
    <w:rsid w:val="67E93D8B"/>
    <w:rsid w:val="693845CB"/>
    <w:rsid w:val="6BB70209"/>
    <w:rsid w:val="724A575E"/>
    <w:rsid w:val="7475188D"/>
    <w:rsid w:val="74E557FB"/>
    <w:rsid w:val="77172B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东方正文"/>
    <w:basedOn w:val="1"/>
    <w:qFormat/>
    <w:uiPriority w:val="0"/>
    <w:pPr>
      <w:spacing w:line="400" w:lineRule="exact"/>
      <w:ind w:left="284" w:right="284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2190</Words>
  <Characters>2573</Characters>
  <Lines>1</Lines>
  <Paragraphs>1</Paragraphs>
  <TotalTime>2</TotalTime>
  <ScaleCrop>false</ScaleCrop>
  <LinksUpToDate>false</LinksUpToDate>
  <CharactersWithSpaces>2622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强子</cp:lastModifiedBy>
  <dcterms:modified xsi:type="dcterms:W3CDTF">2022-07-14T13:40:58Z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2052-11.1.0.11830</vt:lpwstr>
  </property>
</Properties>
</file>