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重庆金溢博商贸有限公司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管理者代表"/>
            <w:r>
              <w:t>宫渝阳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3" w:name="审核日期"/>
            <w:r>
              <w:rPr>
                <w:color w:val="000000"/>
              </w:rPr>
              <w:t>2022年06月23日 上午至2022年06月23日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91500112097122468T 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2014年04月15日至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永久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u w:val="single"/>
              </w:rPr>
              <w:t>一般项目：销售：劳保用品、五金交电、钢材、建筑材料、装饰材料、化工产品（以上三项不含危险化学品）、消防器材、计算机耗材、日用百货、办公用品、日化用品、阀门、通讯器材（不含卫星地面接收设施）、电线电缆、机电设备及配件、管材及配件、农副产品（国家有专项规定的除外）、观赏植物（不含林木种子生产、经营）、酒店用品，销售代理，国内贸易代理，贸易经纪，社会经济咨询服务，信息咨询服务（不含许可类信息咨询服务），日用口罩（非医用）销售，卫生用品和一次性使用医疗用品销售，电子产品销售，家用电器零配件销售，电器辅件销售，家用电器销售，日用杂品销售，母婴用品销售，服装服饰批发，服装服饰零售，针纺织品销售，日用百货销售（除依法须经批准的项目外，凭营业执照依法自主开展经营活动）</w:t>
            </w:r>
            <w:r>
              <w:rPr>
                <w:rFonts w:hint="eastAsia" w:ascii="Times New Roman" w:hAnsi="Times New Roman" w:eastAsia="宋体" w:cs="Times New Roman"/>
                <w:u w:val="single"/>
                <w:lang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u w:val="single"/>
              </w:rPr>
              <w:t>日用百货、办公用品、五金交电、日化用品、劳保用品的销售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重庆市渝北区龙溪街道红石路156号13幢1-9-3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重庆市渝北区龙山街道嘉鸿大道409号时光城1幢14层-8号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销售流程：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highlight w:val="none"/>
                <w:lang w:val="en-US" w:eastAsia="zh-CN" w:bidi="ar-SA"/>
              </w:rPr>
              <w:t>顾客在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highlight w:val="none"/>
                <w:u w:val="single"/>
                <w:lang w:val="en-US" w:eastAsia="zh-CN" w:bidi="ar-SA"/>
              </w:rPr>
              <w:t>石油e采平台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highlight w:val="none"/>
                <w:lang w:val="en-US" w:eastAsia="zh-CN" w:bidi="ar-SA"/>
              </w:rPr>
              <w:t>下订单—供应商配置商品—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highlight w:val="none"/>
                <w:u w:val="single"/>
                <w:lang w:val="en-US" w:eastAsia="zh-CN" w:bidi="ar-SA"/>
              </w:rPr>
              <w:t>石油e采平台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highlight w:val="none"/>
                <w:lang w:val="en-US" w:eastAsia="zh-CN" w:bidi="ar-SA"/>
              </w:rPr>
              <w:t>发货—（顾客）收货点收货。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bookmarkStart w:id="6" w:name="_GoBack"/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ru-RU"/>
              </w:rPr>
              <w:t>以品质赢得客户；以绿色、环保、健康、优质服务占有市场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ru-RU" w:eastAsia="zh-CN"/>
              </w:rPr>
              <w:t>”。</w:t>
            </w:r>
            <w:bookmarkEnd w:id="6"/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spacing w:line="360" w:lineRule="auto"/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5"/>
              <w:gridCol w:w="1060"/>
              <w:gridCol w:w="3930"/>
              <w:gridCol w:w="2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合同履约率100%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履约合同数量/签订合同总数*100%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顾客满意度≥ 95分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顾客满意度调查总分数/顾客调查总数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98分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产品交付合格率100%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交付合格产品数量/交付产品总数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*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100%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固体（含危险）废弃物回收处置率100%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固废分类回收数/固废总数*100%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火灾事故为零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未发生火灾事故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触电事故发生次数为0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未发生触电事故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交通事故发生次数为0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未发生交通事故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轻伤事故发生次数为0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未发生轻伤事故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18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44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</w:t>
            </w:r>
            <w:r>
              <w:rPr>
                <w:rFonts w:hint="eastAsia"/>
                <w:color w:val="000000"/>
                <w:szCs w:val="18"/>
              </w:rPr>
              <w:t>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both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2022年5月20日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实施了</w:t>
            </w:r>
            <w:r>
              <w:rPr>
                <w:rFonts w:hint="eastAsia"/>
                <w:color w:val="000000"/>
                <w:szCs w:val="18"/>
              </w:rPr>
              <w:t>内部审核；记录包括：</w:t>
            </w:r>
          </w:p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Q8.3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条款。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  <w:u w:val="single"/>
              </w:rPr>
              <w:t>由于公司所有服务活动均按照国家或行业的相关规定及顾客要求</w:t>
            </w:r>
            <w:r>
              <w:rPr>
                <w:rFonts w:hint="eastAsia" w:ascii="宋体" w:hAnsi="宋体" w:eastAsia="宋体" w:cs="Lucida Sans"/>
                <w:sz w:val="21"/>
                <w:szCs w:val="21"/>
                <w:u w:val="single"/>
                <w:lang w:val="en-US" w:eastAsia="zh-CN"/>
              </w:rPr>
              <w:t>进行销售</w:t>
            </w:r>
            <w:r>
              <w:rPr>
                <w:rFonts w:hint="eastAsia" w:ascii="宋体" w:hAnsi="宋体" w:eastAsia="宋体" w:cs="Lucida Sans"/>
                <w:sz w:val="21"/>
                <w:szCs w:val="21"/>
                <w:u w:val="single"/>
              </w:rPr>
              <w:t>，不存在设计和开发活动，在确保管理体系有效性、适宜性的前提下，GB/T19001-2016/ISO9001:2015标准“8.3”的“设计和开发”条款</w:t>
            </w:r>
            <w:r>
              <w:rPr>
                <w:rFonts w:hint="eastAsia" w:ascii="宋体" w:hAnsi="宋体" w:eastAsia="宋体" w:cs="Lucida Sans"/>
                <w:sz w:val="21"/>
                <w:szCs w:val="21"/>
                <w:u w:val="single"/>
                <w:lang w:eastAsia="zh-CN"/>
              </w:rPr>
              <w:t>不适用</w:t>
            </w:r>
            <w:r>
              <w:rPr>
                <w:rFonts w:hint="eastAsia" w:ascii="宋体" w:hAnsi="宋体" w:eastAsia="宋体" w:cs="Lucida Sans"/>
                <w:sz w:val="21"/>
                <w:szCs w:val="21"/>
                <w:u w:val="single"/>
              </w:rPr>
              <w:t>，不影响组织提供满足顾客要求和适用的法律、法规要求的能力或责任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highlight w:val="none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销售服务过程</w:t>
            </w:r>
            <w:r>
              <w:rPr>
                <w:color w:val="000000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商品质量、交付期、售后服务等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销售服务过程</w:t>
            </w:r>
            <w:r>
              <w:rPr>
                <w:color w:val="000000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highlight w:val="none"/>
              </w:rPr>
              <w:t>产品</w:t>
            </w:r>
            <w:r>
              <w:rPr>
                <w:rFonts w:hint="eastAsia"/>
                <w:color w:val="auto"/>
                <w:highlight w:val="none"/>
              </w:rPr>
              <w:t xml:space="preserve">召回的情况。 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■</w:t>
            </w:r>
            <w:r>
              <w:rPr>
                <w:rFonts w:hint="eastAsia"/>
                <w:color w:val="auto"/>
                <w:highlight w:val="none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于2022年5月实施了顾客满意度调查，满意度得分98份，达到预定目标。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□原料/成品</w:t>
            </w:r>
            <w:r>
              <w:rPr>
                <w:rFonts w:hint="eastAsia"/>
                <w:color w:val="000000"/>
                <w:highlight w:val="none"/>
              </w:rPr>
              <w:t>库房、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实验室/化验</w:t>
            </w:r>
            <w:r>
              <w:rPr>
                <w:rFonts w:hint="eastAsia"/>
                <w:color w:val="000000"/>
              </w:rPr>
              <w:t>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中石油e采平台、</w:t>
            </w:r>
            <w:r>
              <w:rPr>
                <w:color w:val="000000"/>
                <w:highlight w:val="none"/>
                <w:u w:val="single"/>
              </w:rPr>
              <w:t>电脑、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打印机、空调、办公桌椅等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无</w:t>
            </w:r>
            <w:r>
              <w:rPr>
                <w:color w:val="000000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</w:t>
            </w:r>
            <w:r>
              <w:rPr>
                <w:color w:val="000000"/>
                <w:u w:val="single"/>
              </w:rPr>
              <w:t xml:space="preserve">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月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进行了火灾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触电应急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演习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 w:ascii="Wingdings" w:hAnsi="Wingdings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 w:ascii="Wingdings" w:hAnsi="Wingdings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>其他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：</w:t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普通职业健康体检。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</w:t>
            </w:r>
            <w:r>
              <w:rPr>
                <w:rFonts w:hint="eastAsia"/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u w:val="single"/>
              </w:rPr>
              <w:t>日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进行了火灾、触电应急</w:t>
            </w:r>
            <w:r>
              <w:rPr>
                <w:rFonts w:hint="eastAsia"/>
                <w:color w:val="000000"/>
                <w:u w:val="single"/>
              </w:rPr>
              <w:t>演习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□机械伤害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触电  □化学伤害  □噪声 □粉尘  □危险作业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高低温  □危化品泄露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□压力容器爆炸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墨盒、硒鼓。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防护服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¨较多   ¨很少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34E47ED"/>
    <w:rsid w:val="064068A8"/>
    <w:rsid w:val="0B0C0968"/>
    <w:rsid w:val="152754B3"/>
    <w:rsid w:val="16D1146F"/>
    <w:rsid w:val="315C7E3B"/>
    <w:rsid w:val="404A5340"/>
    <w:rsid w:val="50E7376D"/>
    <w:rsid w:val="559B2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7096</Words>
  <Characters>7362</Characters>
  <Lines>92</Lines>
  <Paragraphs>26</Paragraphs>
  <TotalTime>7</TotalTime>
  <ScaleCrop>false</ScaleCrop>
  <LinksUpToDate>false</LinksUpToDate>
  <CharactersWithSpaces>10511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2022-06-26T07:05:41Z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2052-11.1.0.11830</vt:lpwstr>
  </property>
</Properties>
</file>