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0377-2021-QEO-2022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河北经技消防科技有限公司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ascii="Times New Roman" w:hAnsi="Times New Roman" w:eastAsia="宋体" w:cs="Times New Roman"/>
                <w:kern w:val="2"/>
                <w:sz w:val="21"/>
                <w:szCs w:val="24"/>
                <w:lang w:val="en-US" w:eastAsia="zh-CN" w:bidi="ar-SA"/>
              </w:rPr>
            </w:pPr>
            <w:r>
              <w:t>河北经技消防科技有限公司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河北省石家庄市桥西区胜利南路416号塔坛国际商贸城2号楼905室</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河北省石家庄市桥西区胜利南路416号塔坛国际商贸城2号楼905室</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王楠</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19832613659</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王楠</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王楠</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消防设施维保工艺流程： 合作意向→现场勘查(对整体设备检查)→签定合同→甲方提供资料 →编写维保方案→维保准备及人员安全培训→进行维保→调试运行→填 写维保报告书→向甲方反馈问题→甲方委托维修→填写消防设施维修单 →设备维修调试→设备运行验收→建立维护保养档案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r>
              <w:rPr>
                <w:rFonts w:hint="default" w:ascii="Times New Roman" w:hAnsi="Times New Roman" w:eastAsia="宋体" w:cs="Times New Roman"/>
                <w:color w:val="000000"/>
                <w:kern w:val="0"/>
                <w:sz w:val="21"/>
                <w:szCs w:val="21"/>
                <w:lang w:val="en-US" w:eastAsia="zh-CN" w:bidi="ar"/>
              </w:rPr>
              <w:t>消防设施检测、消防安全评估工艺流程： 接收项目→签订委托书→收集资料→踏勘现场→实施检测/评估→编制检测/评估报告→交付→建立评估档案</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6" w:name="审核日期"/>
            <w:r>
              <w:rPr>
                <w:rFonts w:hint="eastAsia"/>
              </w:rPr>
              <w:t>2022年06月24日 上午至2022年06月25日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9"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pPr>
              <w:rPr>
                <w:rFonts w:hint="default" w:eastAsia="宋体"/>
                <w:lang w:val="en-US" w:eastAsia="zh-CN"/>
              </w:rPr>
            </w:pPr>
            <w:r>
              <w:rPr>
                <w:rFonts w:hint="eastAsia"/>
                <w:lang w:eastAsia="zh-CN"/>
              </w:rPr>
              <w:t>☑</w:t>
            </w:r>
            <w:r>
              <w:rPr>
                <w:rFonts w:hint="eastAsia"/>
              </w:rPr>
              <w:t>其他：</w:t>
            </w:r>
            <w:r>
              <w:rPr>
                <w:rFonts w:hint="eastAsia"/>
                <w:lang w:val="en-US" w:eastAsia="zh-CN"/>
              </w:rPr>
              <w:t>暂停恢复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5"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exact"/>
        </w:trPr>
        <w:tc>
          <w:tcPr>
            <w:tcW w:w="1632" w:type="dxa"/>
            <w:gridSpan w:val="2"/>
            <w:vAlign w:val="center"/>
          </w:tcPr>
          <w:p>
            <w:pPr>
              <w:jc w:val="both"/>
            </w:pPr>
            <w:r>
              <w:rPr>
                <w:rFonts w:hint="eastAsia"/>
              </w:rPr>
              <w:t>审核方式</w:t>
            </w:r>
          </w:p>
        </w:tc>
        <w:tc>
          <w:tcPr>
            <w:tcW w:w="7831" w:type="dxa"/>
            <w:gridSpan w:val="3"/>
            <w:tcMar>
              <w:left w:w="113" w:type="dxa"/>
            </w:tcMar>
            <w:vAlign w:val="center"/>
          </w:tcPr>
          <w:p>
            <w:pPr>
              <w:jc w:val="both"/>
            </w:pPr>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8" w:hRule="exact"/>
        </w:trPr>
        <w:tc>
          <w:tcPr>
            <w:tcW w:w="1632" w:type="dxa"/>
            <w:gridSpan w:val="2"/>
            <w:vAlign w:val="center"/>
          </w:tcPr>
          <w:p>
            <w:pPr>
              <w:jc w:val="both"/>
            </w:pPr>
            <w:r>
              <w:rPr>
                <w:rFonts w:hint="eastAsia" w:ascii="宋体" w:hAnsi="宋体" w:cs="宋体"/>
                <w:color w:val="000000"/>
                <w:kern w:val="0"/>
                <w:szCs w:val="21"/>
              </w:rPr>
              <w:t>审核方法</w:t>
            </w:r>
          </w:p>
        </w:tc>
        <w:tc>
          <w:tcPr>
            <w:tcW w:w="7831" w:type="dxa"/>
            <w:gridSpan w:val="3"/>
            <w:tcMar>
              <w:left w:w="113" w:type="dxa"/>
            </w:tcMar>
            <w:vAlign w:val="center"/>
          </w:tcPr>
          <w:p>
            <w:pPr>
              <w:widowControl/>
              <w:jc w:val="both"/>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5" w:hRule="exact"/>
        </w:trPr>
        <w:tc>
          <w:tcPr>
            <w:tcW w:w="1632" w:type="dxa"/>
            <w:gridSpan w:val="2"/>
            <w:vAlign w:val="center"/>
          </w:tcPr>
          <w:p>
            <w:pPr>
              <w:jc w:val="both"/>
            </w:pPr>
            <w:r>
              <w:rPr>
                <w:rFonts w:hint="eastAsia"/>
              </w:rPr>
              <w:t>审核类型</w:t>
            </w:r>
          </w:p>
        </w:tc>
        <w:tc>
          <w:tcPr>
            <w:tcW w:w="7831" w:type="dxa"/>
            <w:gridSpan w:val="3"/>
            <w:tcMar>
              <w:left w:w="113" w:type="dxa"/>
            </w:tcMar>
            <w:vAlign w:val="center"/>
          </w:tcPr>
          <w:p>
            <w:pPr>
              <w:jc w:val="both"/>
              <w:rPr>
                <w:rFonts w:hint="eastAsia" w:eastAsia="宋体"/>
                <w:lang w:eastAsia="zh-CN"/>
              </w:rPr>
            </w:pPr>
            <w:bookmarkStart w:id="15" w:name="二阶段勾选"/>
            <w:r>
              <w:rPr>
                <w:rFonts w:hint="eastAsia"/>
              </w:rPr>
              <w:t>□</w:t>
            </w:r>
            <w:bookmarkEnd w:id="15"/>
            <w:r>
              <w:rPr>
                <w:rFonts w:hint="eastAsia"/>
              </w:rPr>
              <w:t>初审二阶段</w:t>
            </w:r>
            <w:bookmarkStart w:id="16" w:name="监督勾选Add1"/>
            <w:r>
              <w:rPr>
                <w:rFonts w:hint="eastAsia"/>
              </w:rPr>
              <w:t>■</w:t>
            </w:r>
            <w:bookmarkEnd w:id="16"/>
            <w:r>
              <w:rPr>
                <w:rFonts w:hint="eastAsia"/>
              </w:rPr>
              <w:t>监督第</w:t>
            </w:r>
            <w:bookmarkStart w:id="17" w:name="监督次数"/>
            <w:r>
              <w:rPr>
                <w:rFonts w:hint="eastAsia"/>
              </w:rPr>
              <w:t>一</w:t>
            </w:r>
            <w:bookmarkEnd w:id="17"/>
            <w:r>
              <w:rPr>
                <w:rFonts w:hint="eastAsia"/>
              </w:rPr>
              <w:t>次监督审核</w:t>
            </w:r>
            <w:bookmarkStart w:id="18" w:name="再认证勾选"/>
            <w:r>
              <w:rPr>
                <w:rFonts w:hint="eastAsia"/>
              </w:rPr>
              <w:t>□</w:t>
            </w:r>
            <w:bookmarkEnd w:id="18"/>
            <w:r>
              <w:rPr>
                <w:rFonts w:hint="eastAsia"/>
              </w:rPr>
              <w:t>再认证</w:t>
            </w:r>
            <w:bookmarkStart w:id="19" w:name="扩项勾选Add1"/>
            <w:r>
              <w:rPr>
                <w:rFonts w:hint="eastAsia"/>
              </w:rPr>
              <w:t>□</w:t>
            </w:r>
            <w:bookmarkEnd w:id="19"/>
            <w:r>
              <w:rPr>
                <w:rFonts w:hint="eastAsia"/>
              </w:rPr>
              <w:t>扩大认证</w:t>
            </w:r>
            <w:r>
              <w:rPr>
                <w:rFonts w:hint="eastAsia"/>
                <w:lang w:eastAsia="zh-CN"/>
              </w:rPr>
              <w:t>☑</w:t>
            </w:r>
            <w:r>
              <w:rPr>
                <w:rFonts w:hint="eastAsia"/>
              </w:rPr>
              <w:t>其他</w:t>
            </w:r>
            <w:r>
              <w:rPr>
                <w:rFonts w:hint="eastAsia"/>
                <w:lang w:eastAsia="zh-CN"/>
              </w:rPr>
              <w:t>（</w:t>
            </w:r>
            <w:r>
              <w:rPr>
                <w:rFonts w:hint="eastAsia"/>
                <w:lang w:val="en-US" w:eastAsia="zh-CN"/>
              </w:rPr>
              <w:t>暂停恢复</w:t>
            </w:r>
            <w:bookmarkStart w:id="26" w:name="_GoBack"/>
            <w:bookmarkEnd w:id="26"/>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exact"/>
        </w:trPr>
        <w:tc>
          <w:tcPr>
            <w:tcW w:w="1632" w:type="dxa"/>
            <w:gridSpan w:val="2"/>
            <w:vAlign w:val="center"/>
          </w:tcPr>
          <w:p>
            <w:pPr>
              <w:tabs>
                <w:tab w:val="left" w:pos="4285"/>
              </w:tabs>
              <w:jc w:val="both"/>
              <w:rPr>
                <w:rFonts w:cs="Arial"/>
                <w:b/>
                <w:bCs/>
                <w:color w:val="0000FF"/>
                <w:szCs w:val="21"/>
              </w:rPr>
            </w:pPr>
            <w:r>
              <w:rPr>
                <w:rFonts w:hint="eastAsia" w:cs="Arial"/>
                <w:b/>
                <w:bCs/>
                <w:color w:val="0000FF"/>
                <w:szCs w:val="21"/>
              </w:rPr>
              <w:t>审核地址</w:t>
            </w:r>
          </w:p>
        </w:tc>
        <w:tc>
          <w:tcPr>
            <w:tcW w:w="7831" w:type="dxa"/>
            <w:gridSpan w:val="3"/>
            <w:tcMar>
              <w:left w:w="113" w:type="dxa"/>
            </w:tcMar>
            <w:vAlign w:val="center"/>
          </w:tcPr>
          <w:p>
            <w:pPr>
              <w:jc w:val="both"/>
              <w:rPr>
                <w:rFonts w:ascii="宋体"/>
                <w:b/>
                <w:color w:val="0000FF"/>
                <w:szCs w:val="21"/>
              </w:rPr>
            </w:pPr>
            <w:bookmarkStart w:id="20" w:name="生产地址"/>
            <w:r>
              <w:rPr>
                <w:rFonts w:asciiTheme="minorEastAsia" w:hAnsiTheme="minorEastAsia" w:eastAsiaTheme="minorEastAsia"/>
                <w:b w:val="0"/>
                <w:bCs w:val="0"/>
                <w:sz w:val="21"/>
                <w:szCs w:val="21"/>
              </w:rPr>
              <w:t>河北省石家庄市桥西区胜利南路416号塔坛国际商贸城2号楼905室</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pPr>
              <w:rPr>
                <w:b w:val="0"/>
                <w:bCs w:val="0"/>
                <w:sz w:val="21"/>
                <w:szCs w:val="21"/>
              </w:rPr>
            </w:pPr>
            <w:bookmarkStart w:id="21" w:name="审核范围"/>
            <w:r>
              <w:rPr>
                <w:b w:val="0"/>
                <w:bCs w:val="0"/>
                <w:sz w:val="21"/>
                <w:szCs w:val="21"/>
              </w:rPr>
              <w:t>Q：消防设施维护保养检测、消防安全评估</w:t>
            </w:r>
          </w:p>
          <w:p>
            <w:pPr>
              <w:rPr>
                <w:b w:val="0"/>
                <w:bCs w:val="0"/>
                <w:sz w:val="21"/>
                <w:szCs w:val="21"/>
              </w:rPr>
            </w:pPr>
            <w:r>
              <w:rPr>
                <w:b w:val="0"/>
                <w:bCs w:val="0"/>
                <w:sz w:val="21"/>
                <w:szCs w:val="21"/>
              </w:rPr>
              <w:t>E：消防设施维护保养检测、消防安全评估所涉及场所的相关环境管理活动</w:t>
            </w:r>
          </w:p>
          <w:p>
            <w:r>
              <w:rPr>
                <w:b w:val="0"/>
                <w:bCs w:val="0"/>
                <w:sz w:val="21"/>
                <w:szCs w:val="21"/>
              </w:rPr>
              <w:t>O：消防设施维护保养检测、消防安全评估所涉及场所的相关职业健康安全管理活动</w:t>
            </w:r>
            <w:bookmarkEnd w:id="21"/>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jc w:val="left"/>
              <w:rPr>
                <w:b w:val="0"/>
                <w:bCs w:val="0"/>
                <w:sz w:val="21"/>
                <w:szCs w:val="21"/>
              </w:rPr>
            </w:pPr>
            <w:bookmarkStart w:id="22" w:name="专业代码"/>
            <w:r>
              <w:rPr>
                <w:b w:val="0"/>
                <w:bCs w:val="0"/>
                <w:sz w:val="21"/>
                <w:szCs w:val="21"/>
              </w:rPr>
              <w:t>Q：28.07.01;34.06.00</w:t>
            </w:r>
          </w:p>
          <w:p>
            <w:pPr>
              <w:jc w:val="left"/>
              <w:rPr>
                <w:b w:val="0"/>
                <w:bCs w:val="0"/>
                <w:sz w:val="21"/>
                <w:szCs w:val="21"/>
              </w:rPr>
            </w:pPr>
            <w:r>
              <w:rPr>
                <w:b w:val="0"/>
                <w:bCs w:val="0"/>
                <w:sz w:val="21"/>
                <w:szCs w:val="21"/>
              </w:rPr>
              <w:t>E：28.07.01;34.06.00</w:t>
            </w:r>
          </w:p>
          <w:p>
            <w:r>
              <w:rPr>
                <w:b w:val="0"/>
                <w:bCs w:val="0"/>
                <w:sz w:val="21"/>
                <w:szCs w:val="21"/>
              </w:rPr>
              <w:t>O：28.07.01;34.06.00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b/>
                <w:color w:val="000000"/>
                <w:sz w:val="20"/>
                <w:szCs w:val="20"/>
                <w:lang w:val="en-US" w:eastAsia="zh-CN"/>
              </w:rPr>
              <w:t>2020年12月1日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1-2</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6</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343"/>
        <w:gridCol w:w="1900"/>
        <w:gridCol w:w="733"/>
        <w:gridCol w:w="1840"/>
        <w:gridCol w:w="17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343"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0"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733"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1840"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6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343" w:type="dxa"/>
          </w:tcPr>
          <w:p>
            <w:pPr>
              <w:spacing w:before="40" w:after="40"/>
              <w:rPr>
                <w:rFonts w:eastAsia="黑体"/>
                <w:szCs w:val="21"/>
                <w:lang w:val="de-DE" w:eastAsia="ja-JP"/>
              </w:rPr>
            </w:pPr>
            <w:r>
              <w:rPr>
                <w:rFonts w:hint="eastAsia" w:eastAsia="黑体"/>
                <w:szCs w:val="21"/>
                <w:lang w:val="de-DE" w:eastAsia="ja-JP"/>
              </w:rPr>
              <w:t>河北经技消防科技有限公司</w:t>
            </w:r>
            <w:r>
              <w:rPr>
                <w:rFonts w:hint="eastAsia" w:eastAsia="黑体"/>
                <w:szCs w:val="21"/>
                <w:lang w:val="en-US" w:eastAsia="zh-CN"/>
              </w:rPr>
              <w:t>/</w:t>
            </w:r>
            <w:r>
              <w:rPr>
                <w:rFonts w:hint="eastAsia" w:eastAsia="黑体"/>
                <w:szCs w:val="21"/>
                <w:lang w:val="de-DE" w:eastAsia="ja-JP"/>
              </w:rPr>
              <w:t>河北省石家庄市桥西区胜利南路416号塔坛国际商贸城2号楼905室</w:t>
            </w:r>
          </w:p>
        </w:tc>
        <w:tc>
          <w:tcPr>
            <w:tcW w:w="1900" w:type="dxa"/>
          </w:tcPr>
          <w:p>
            <w:pPr>
              <w:spacing w:before="40" w:after="40"/>
              <w:rPr>
                <w:rFonts w:eastAsia="黑体"/>
                <w:szCs w:val="21"/>
                <w:lang w:val="de-DE" w:eastAsia="ja-JP"/>
              </w:rPr>
            </w:pPr>
            <w:r>
              <w:rPr>
                <w:rFonts w:hint="eastAsia" w:eastAsia="黑体"/>
                <w:szCs w:val="21"/>
                <w:lang w:val="de-DE" w:eastAsia="ja-JP"/>
              </w:rPr>
              <w:t>河北省石家庄市桥西区胜利南路416号塔坛国际商贸城2号楼905室</w:t>
            </w:r>
          </w:p>
        </w:tc>
        <w:tc>
          <w:tcPr>
            <w:tcW w:w="733" w:type="dxa"/>
            <w:vAlign w:val="center"/>
          </w:tcPr>
          <w:p>
            <w:pPr>
              <w:spacing w:before="40" w:after="40"/>
              <w:rPr>
                <w:rFonts w:hint="default" w:eastAsia="黑体"/>
                <w:szCs w:val="21"/>
                <w:lang w:val="en-US" w:eastAsia="zh-CN"/>
              </w:rPr>
            </w:pPr>
            <w:r>
              <w:rPr>
                <w:rFonts w:hint="eastAsia" w:eastAsia="黑体"/>
                <w:szCs w:val="21"/>
                <w:lang w:val="en-US" w:eastAsia="zh-CN"/>
              </w:rPr>
              <w:t>12</w:t>
            </w:r>
          </w:p>
        </w:tc>
        <w:tc>
          <w:tcPr>
            <w:tcW w:w="1840" w:type="dxa"/>
            <w:vAlign w:val="center"/>
          </w:tcPr>
          <w:p>
            <w:pPr>
              <w:pStyle w:val="21"/>
              <w:rPr>
                <w:rFonts w:eastAsia="黑体" w:cs="Arial"/>
                <w:sz w:val="21"/>
                <w:szCs w:val="21"/>
                <w:lang w:val="en-US" w:eastAsia="ja-JP"/>
              </w:rPr>
            </w:pPr>
            <w:r>
              <w:rPr>
                <w:b w:val="0"/>
                <w:bCs w:val="0"/>
                <w:sz w:val="21"/>
                <w:szCs w:val="21"/>
              </w:rPr>
              <w:t>消防设施维护保养检测、消防安全评估</w:t>
            </w:r>
          </w:p>
        </w:tc>
        <w:tc>
          <w:tcPr>
            <w:tcW w:w="1761"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hint="eastAsia" w:ascii="宋体" w:hAnsi="宋体"/>
                <w:b w:val="0"/>
                <w:bCs w:val="0"/>
                <w:sz w:val="21"/>
                <w:szCs w:val="21"/>
              </w:rPr>
            </w:pPr>
            <w:r>
              <w:rPr>
                <w:rFonts w:hint="eastAsia" w:ascii="宋体" w:hAnsi="宋体"/>
                <w:b w:val="0"/>
                <w:bCs w:val="0"/>
                <w:sz w:val="21"/>
                <w:szCs w:val="21"/>
              </w:rPr>
              <w:t>GB/T24001-2016</w:t>
            </w:r>
          </w:p>
          <w:p>
            <w:pPr>
              <w:spacing w:before="40" w:after="40"/>
              <w:rPr>
                <w:rFonts w:eastAsia="黑体"/>
                <w:szCs w:val="21"/>
                <w:lang w:eastAsia="ja-JP"/>
              </w:rPr>
            </w:pPr>
            <w:r>
              <w:rPr>
                <w:rFonts w:hint="eastAsia" w:ascii="宋体" w:hAnsi="宋体"/>
                <w:b w:val="0"/>
                <w:bCs w:val="0"/>
                <w:sz w:val="21"/>
                <w:szCs w:val="21"/>
              </w:rPr>
              <w:t>GB/T45001-2020</w:t>
            </w: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2179" w:type="dxa"/>
            <w:vAlign w:val="center"/>
          </w:tcPr>
          <w:p>
            <w:r>
              <w:t>Q:34.06.00</w:t>
            </w:r>
          </w:p>
          <w:p>
            <w:r>
              <w:t>E:34.06.00</w:t>
            </w:r>
          </w:p>
          <w:p>
            <w:pPr>
              <w:rPr>
                <w:rFonts w:ascii="Times New Roman" w:hAnsi="Times New Roman" w:eastAsia="宋体" w:cs="Times New Roman"/>
                <w:kern w:val="2"/>
                <w:sz w:val="21"/>
                <w:szCs w:val="24"/>
                <w:lang w:val="en-US" w:eastAsia="zh-CN" w:bidi="ar-SA"/>
              </w:rPr>
            </w:pPr>
            <w: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周文廷</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2022-N1QMS-2244880</w:t>
            </w:r>
          </w:p>
          <w:p>
            <w:pPr>
              <w:rPr>
                <w:rFonts w:ascii="Times New Roman" w:hAnsi="Times New Roman" w:eastAsia="宋体" w:cs="Times New Roman"/>
                <w:kern w:val="2"/>
                <w:sz w:val="21"/>
                <w:szCs w:val="24"/>
                <w:lang w:val="en-US" w:eastAsia="zh-CN" w:bidi="ar-SA"/>
              </w:rPr>
            </w:pPr>
            <w:r>
              <w:t>2021-N1EMS-1244880</w:t>
            </w:r>
          </w:p>
        </w:tc>
        <w:tc>
          <w:tcPr>
            <w:tcW w:w="2179" w:type="dxa"/>
            <w:vAlign w:val="center"/>
          </w:tcPr>
          <w:p>
            <w:r>
              <w:t>Q:28.07.01,34.06.00</w:t>
            </w:r>
          </w:p>
          <w:p>
            <w:r>
              <w:t>E:28.07.01,34.06.00</w:t>
            </w:r>
          </w:p>
          <w:p>
            <w:pPr>
              <w:rPr>
                <w:rFonts w:ascii="Times New Roman" w:hAnsi="Times New Roman" w:eastAsia="宋体" w:cs="Times New Roman"/>
                <w:kern w:val="2"/>
                <w:sz w:val="21"/>
                <w:szCs w:val="24"/>
                <w:lang w:val="en-US" w:eastAsia="zh-CN" w:bidi="ar-SA"/>
              </w:rPr>
            </w:pPr>
            <w:r>
              <w:t>O:28.07.01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tabs>
                <w:tab w:val="left" w:pos="875"/>
              </w:tabs>
              <w:bidi w:val="0"/>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上次不符合为QEO7.3条款，本次审核未发现类似问题，采取的措施有效。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jc w:val="center"/>
              <w:rPr>
                <w:rFonts w:hint="eastAsia" w:eastAsia="宋体"/>
                <w:lang w:val="en-US" w:eastAsia="zh-CN"/>
              </w:rPr>
            </w:pPr>
            <w:r>
              <w:rPr>
                <w:rFonts w:hint="eastAsia"/>
                <w:lang w:val="en-US" w:eastAsia="zh-CN"/>
              </w:rPr>
              <w:t>0</w:t>
            </w:r>
          </w:p>
        </w:tc>
        <w:tc>
          <w:tcPr>
            <w:tcW w:w="1717" w:type="dxa"/>
          </w:tcPr>
          <w:p>
            <w:pPr>
              <w:jc w:val="center"/>
              <w:rPr>
                <w:rFonts w:hint="eastAsia" w:eastAsia="宋体"/>
                <w:lang w:val="en-US" w:eastAsia="zh-CN"/>
              </w:rPr>
            </w:pPr>
            <w:r>
              <w:rPr>
                <w:rFonts w:hint="eastAsia"/>
                <w:lang w:val="en-US" w:eastAsia="zh-CN"/>
              </w:rPr>
              <w:t>0</w:t>
            </w:r>
          </w:p>
        </w:tc>
        <w:tc>
          <w:tcPr>
            <w:tcW w:w="1560" w:type="dxa"/>
          </w:tcPr>
          <w:p>
            <w:pPr>
              <w:ind w:firstLine="394" w:firstLineChars="0"/>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jc w:val="cente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ind w:firstLine="567" w:firstLineChars="0"/>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jc w:val="center"/>
              <w:rPr>
                <w:rFonts w:hint="eastAsia" w:eastAsia="宋体"/>
                <w:lang w:val="en-US" w:eastAsia="zh-CN"/>
              </w:rPr>
            </w:pPr>
            <w:r>
              <w:rPr>
                <w:rFonts w:hint="eastAsia"/>
                <w:lang w:val="en-US" w:eastAsia="zh-CN"/>
              </w:rPr>
              <w:t>1</w:t>
            </w:r>
          </w:p>
        </w:tc>
        <w:tc>
          <w:tcPr>
            <w:tcW w:w="1717" w:type="dxa"/>
          </w:tcPr>
          <w:p>
            <w:pPr>
              <w:jc w:val="center"/>
              <w:rPr>
                <w:rFonts w:hint="eastAsia" w:eastAsia="宋体"/>
                <w:lang w:val="en-US" w:eastAsia="zh-CN"/>
              </w:rPr>
            </w:pPr>
            <w:r>
              <w:rPr>
                <w:rFonts w:hint="eastAsia"/>
                <w:lang w:val="en-US" w:eastAsia="zh-CN"/>
              </w:rPr>
              <w:t>0</w:t>
            </w:r>
          </w:p>
        </w:tc>
        <w:tc>
          <w:tcPr>
            <w:tcW w:w="1560" w:type="dxa"/>
          </w:tcPr>
          <w:p>
            <w:pPr>
              <w:ind w:firstLine="440" w:firstLineChars="0"/>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jc w:val="center"/>
              <w:rPr>
                <w:rFonts w:hint="eastAsia" w:eastAsia="宋体"/>
                <w:lang w:val="en-US" w:eastAsia="zh-CN"/>
              </w:rPr>
            </w:pPr>
            <w:r>
              <w:rPr>
                <w:rFonts w:hint="eastAsia"/>
                <w:lang w:val="en-US" w:eastAsia="zh-CN"/>
              </w:rPr>
              <w:t>1</w:t>
            </w:r>
          </w:p>
        </w:tc>
        <w:tc>
          <w:tcPr>
            <w:tcW w:w="1717" w:type="dxa"/>
          </w:tcPr>
          <w:p>
            <w:pPr>
              <w:jc w:val="center"/>
              <w:rPr>
                <w:rFonts w:hint="eastAsia" w:eastAsia="宋体"/>
                <w:lang w:val="en-US" w:eastAsia="zh-CN"/>
              </w:rPr>
            </w:pPr>
            <w:r>
              <w:rPr>
                <w:rFonts w:hint="eastAsia"/>
                <w:lang w:val="en-US" w:eastAsia="zh-CN"/>
              </w:rPr>
              <w:t>0</w:t>
            </w:r>
          </w:p>
        </w:tc>
        <w:tc>
          <w:tcPr>
            <w:tcW w:w="1560" w:type="dxa"/>
          </w:tcPr>
          <w:p>
            <w:pPr>
              <w:ind w:firstLine="531" w:firstLineChars="0"/>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3" w:name="Q勾选Add2"/>
            <w:r>
              <w:rPr>
                <w:rFonts w:hint="eastAsia"/>
              </w:rPr>
              <w:t>■</w:t>
            </w:r>
            <w:bookmarkEnd w:id="23"/>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E勾选Add2"/>
            <w:r>
              <w:rPr>
                <w:rFonts w:hint="eastAsia"/>
              </w:rPr>
              <w:t>■</w:t>
            </w:r>
            <w:bookmarkEnd w:id="2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5" w:name="S勾选Add2"/>
            <w:r>
              <w:rPr>
                <w:rFonts w:hint="eastAsia"/>
              </w:rPr>
              <w:t>■</w:t>
            </w:r>
            <w:bookmarkEnd w:id="2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w:t>
            </w:r>
            <w:r>
              <w:rPr>
                <w:rFonts w:hint="eastAsia"/>
                <w:lang w:val="en-US" w:eastAsia="zh-CN"/>
              </w:rPr>
              <w:t>恢复并</w:t>
            </w:r>
            <w:r>
              <w:rPr>
                <w:rFonts w:hint="eastAsia"/>
              </w:rPr>
              <w:t>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62336" behindDoc="0" locked="0" layoutInCell="1" allowOverlap="1">
                  <wp:simplePos x="0" y="0"/>
                  <wp:positionH relativeFrom="column">
                    <wp:posOffset>67310</wp:posOffset>
                  </wp:positionH>
                  <wp:positionV relativeFrom="paragraph">
                    <wp:posOffset>196215</wp:posOffset>
                  </wp:positionV>
                  <wp:extent cx="1031240" cy="49657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31240" cy="496570"/>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2022年6月25日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诚实守信，客户至上；真诚合作，实现双赢</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技术服务部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机遇：公司产品机构调整，给公司带来潜在的客户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r>
                    <w:rPr>
                      <w:rFonts w:hint="eastAsia" w:cs="Times New Roman"/>
                      <w:sz w:val="18"/>
                      <w:szCs w:val="18"/>
                      <w:lang w:eastAsia="zh-CN"/>
                    </w:rPr>
                    <w:t>市场</w:t>
                  </w:r>
                  <w:r>
                    <w:rPr>
                      <w:rFonts w:hint="eastAsia" w:cs="Times New Roman"/>
                      <w:sz w:val="18"/>
                      <w:szCs w:val="18"/>
                      <w:lang w:val="en-US" w:eastAsia="zh-CN"/>
                    </w:rPr>
                    <w:t>人员</w:t>
                  </w:r>
                  <w:r>
                    <w:rPr>
                      <w:rFonts w:hint="eastAsia" w:ascii="Times New Roman" w:hAnsi="Times New Roman" w:eastAsia="宋体" w:cs="Times New Roman"/>
                      <w:sz w:val="18"/>
                      <w:szCs w:val="18"/>
                    </w:rPr>
                    <w:t>加大市场开拓</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5"/>
              <w:gridCol w:w="248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482"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keepNext w:val="0"/>
                    <w:keepLines w:val="0"/>
                    <w:widowControl/>
                    <w:suppressLineNumbers w:val="0"/>
                    <w:jc w:val="left"/>
                    <w:rPr>
                      <w:rFonts w:hint="eastAsia" w:ascii="Times New Roman" w:hAnsi="Times New Roman" w:eastAsia="宋体" w:cs="Times New Roman"/>
                      <w:sz w:val="18"/>
                      <w:szCs w:val="18"/>
                    </w:rPr>
                  </w:pPr>
                  <w:r>
                    <w:rPr>
                      <w:rFonts w:hint="eastAsia" w:ascii="楷体" w:hAnsi="楷体" w:eastAsia="楷体" w:cs="楷体"/>
                      <w:color w:val="000000"/>
                      <w:kern w:val="0"/>
                      <w:sz w:val="21"/>
                      <w:szCs w:val="21"/>
                      <w:lang w:val="en-US" w:eastAsia="zh-CN" w:bidi="ar"/>
                    </w:rPr>
                    <w:t xml:space="preserve">1.合同履约率 100% </w:t>
                  </w:r>
                </w:p>
              </w:tc>
              <w:tc>
                <w:tcPr>
                  <w:tcW w:w="2482" w:type="dxa"/>
                  <w:shd w:val="clear" w:color="auto" w:fill="auto"/>
                  <w:vAlign w:val="center"/>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实际统计</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综合管理部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楷体" w:hAnsi="楷体" w:eastAsia="楷体" w:cs="楷体"/>
                      <w:color w:val="000000"/>
                      <w:kern w:val="0"/>
                      <w:sz w:val="21"/>
                      <w:szCs w:val="21"/>
                      <w:lang w:val="en-US" w:eastAsia="zh-CN" w:bidi="ar"/>
                    </w:rPr>
                    <w:t>2.顾客满意度≥90%</w:t>
                  </w:r>
                </w:p>
              </w:tc>
              <w:tc>
                <w:tcPr>
                  <w:tcW w:w="2482" w:type="dxa"/>
                  <w:shd w:val="clear" w:color="auto" w:fill="auto"/>
                  <w:vAlign w:val="center"/>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lang w:val="en-US" w:eastAsia="zh-CN"/>
                    </w:rPr>
                    <w:t>综合管理部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98.3</w:t>
                  </w:r>
                  <w:r>
                    <w:rPr>
                      <w:rFonts w:hint="eastAsia" w:ascii="宋体" w:hAnsi="宋体"/>
                      <w:lang w:val="en-GB"/>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400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eastAsia" w:eastAsia="楷体"/>
                <w:u w:val="single"/>
                <w:lang w:val="en-US" w:eastAsia="zh-CN"/>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r>
              <w:rPr>
                <w:rFonts w:hint="eastAsia" w:ascii="楷体" w:hAnsi="楷体" w:eastAsia="楷体"/>
                <w:szCs w:val="21"/>
                <w:lang w:val="en-US" w:eastAsia="zh-CN"/>
              </w:rPr>
              <w:t>及</w:t>
            </w:r>
            <w:r>
              <w:rPr>
                <w:rFonts w:hint="eastAsia" w:ascii="楷体" w:hAnsi="楷体" w:eastAsia="楷体" w:cs="楷体"/>
                <w:color w:val="auto"/>
                <w:sz w:val="21"/>
                <w:szCs w:val="21"/>
                <w:lang w:val="en-US" w:eastAsia="zh-CN"/>
              </w:rPr>
              <w:t>消防设施检测仪器</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rPr>
                <w:rFonts w:hint="default"/>
                <w:lang w:val="en-US"/>
              </w:rPr>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7"/>
              <w:gridCol w:w="154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7" w:type="dxa"/>
                </w:tcPr>
                <w:p>
                  <w:pPr>
                    <w:shd w:val="clear" w:color="auto" w:fill="C7DAF1" w:themeFill="text2" w:themeFillTint="32"/>
                    <w:jc w:val="left"/>
                  </w:pPr>
                  <w:r>
                    <w:rPr>
                      <w:rFonts w:hint="eastAsia"/>
                    </w:rPr>
                    <w:t>产品/服务名称</w:t>
                  </w:r>
                </w:p>
              </w:tc>
              <w:tc>
                <w:tcPr>
                  <w:tcW w:w="1540"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7" w:type="dxa"/>
                </w:tcPr>
                <w:p>
                  <w:pPr>
                    <w:shd w:val="clear" w:color="auto" w:fill="C7DAF1" w:themeFill="text2" w:themeFillTint="32"/>
                    <w:jc w:val="left"/>
                    <w:rPr>
                      <w:rFonts w:hint="eastAsia" w:eastAsia="宋体"/>
                      <w:lang w:eastAsia="zh-CN"/>
                    </w:rPr>
                  </w:pPr>
                  <w:r>
                    <w:rPr>
                      <w:b w:val="0"/>
                      <w:bCs w:val="0"/>
                      <w:sz w:val="21"/>
                      <w:szCs w:val="21"/>
                    </w:rPr>
                    <w:t>消防设施维护保养检测、消防安全评估</w:t>
                  </w:r>
                </w:p>
              </w:tc>
              <w:tc>
                <w:tcPr>
                  <w:tcW w:w="1540" w:type="dxa"/>
                </w:tcPr>
                <w:p>
                  <w:pPr>
                    <w:shd w:val="clear" w:color="auto" w:fill="C7DAF1" w:themeFill="text2" w:themeFillTint="32"/>
                    <w:jc w:val="left"/>
                    <w:rPr>
                      <w:rFonts w:hint="default" w:eastAsia="宋体"/>
                      <w:lang w:val="en-US" w:eastAsia="zh-CN"/>
                    </w:rPr>
                  </w:pPr>
                  <w:r>
                    <w:rPr>
                      <w:rFonts w:hint="eastAsia"/>
                      <w:lang w:val="en-US" w:eastAsia="zh-CN"/>
                    </w:rPr>
                    <w:t>业务洽谈</w:t>
                  </w:r>
                </w:p>
              </w:tc>
              <w:tc>
                <w:tcPr>
                  <w:tcW w:w="3265" w:type="dxa"/>
                </w:tcPr>
                <w:p>
                  <w:pPr>
                    <w:shd w:val="clear" w:color="auto" w:fill="C7DAF1" w:themeFill="text2" w:themeFillTint="32"/>
                    <w:jc w:val="left"/>
                  </w:pPr>
                  <w:r>
                    <w:rPr>
                      <w:rFonts w:hint="eastAsia"/>
                      <w:color w:val="000000"/>
                      <w:u w:val="single"/>
                      <w:lang w:val="en-US" w:eastAsia="zh-CN"/>
                    </w:rPr>
                    <w:t>订单执行时间、客户需求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b w:val="0"/>
                <w:bCs w:val="0"/>
                <w:sz w:val="21"/>
                <w:szCs w:val="21"/>
              </w:rPr>
              <w:t>消防设施维护保养检测、消防安全评估</w:t>
            </w:r>
            <w:r>
              <w:rPr>
                <w:rFonts w:hint="eastAsia"/>
                <w:lang w:val="en-US" w:eastAsia="zh-CN"/>
              </w:rPr>
              <w:t>服务</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2022年4月12-13日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2022年4月22日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ascii="Times New Roman" w:hAnsi="Times New Roman" w:eastAsia="宋体" w:cs="宋体"/>
                <w:lang w:val="en-US" w:eastAsia="zh-CN"/>
              </w:rPr>
            </w:pPr>
            <w:r>
              <w:rPr>
                <w:rFonts w:hint="eastAsia" w:ascii="楷体" w:hAnsi="楷体" w:eastAsia="楷体" w:cs="楷体"/>
                <w:b/>
                <w:bCs/>
                <w:color w:val="000000"/>
                <w:kern w:val="0"/>
                <w:sz w:val="21"/>
                <w:szCs w:val="21"/>
                <w:lang w:val="en-US" w:eastAsia="zh-CN" w:bidi="ar"/>
              </w:rPr>
              <w:t>遵规守法，预防污染；高效低耗，环保作业</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4"/>
              <w:gridCol w:w="258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4" w:type="dxa"/>
                </w:tcPr>
                <w:p>
                  <w:pPr>
                    <w:shd w:val="clear" w:color="auto" w:fill="EBF1DE" w:themeFill="accent3" w:themeFillTint="32"/>
                  </w:pPr>
                  <w:r>
                    <w:rPr>
                      <w:rFonts w:hint="eastAsia"/>
                    </w:rPr>
                    <w:t>主要的风险或机遇描述</w:t>
                  </w:r>
                </w:p>
              </w:tc>
              <w:tc>
                <w:tcPr>
                  <w:tcW w:w="2581"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4" w:type="dxa"/>
                </w:tcPr>
                <w:p>
                  <w:pPr>
                    <w:pStyle w:val="2"/>
                  </w:pPr>
                  <w:r>
                    <w:rPr>
                      <w:rFonts w:hint="eastAsia" w:ascii="楷体" w:hAnsi="楷体" w:eastAsia="楷体" w:cs="楷体"/>
                      <w:color w:val="auto"/>
                      <w:sz w:val="21"/>
                      <w:szCs w:val="21"/>
                      <w:lang w:val="en-US" w:eastAsia="zh-CN"/>
                    </w:rPr>
                    <w:t>目前政府机构、事业单位、老旧小区消防系统老化情况严重，国家对安全事故的重视，因此消防系统维保和检测市场前景看好</w:t>
                  </w:r>
                </w:p>
              </w:tc>
              <w:tc>
                <w:tcPr>
                  <w:tcW w:w="2581" w:type="dxa"/>
                </w:tcPr>
                <w:p>
                  <w:pPr>
                    <w:shd w:val="clear" w:color="auto" w:fill="EBF1DE" w:themeFill="accent3" w:themeFillTint="32"/>
                  </w:pPr>
                  <w:r>
                    <w:rPr>
                      <w:rFonts w:hint="eastAsia" w:ascii="楷体" w:hAnsi="楷体" w:eastAsia="楷体" w:cs="楷体"/>
                      <w:color w:val="auto"/>
                      <w:kern w:val="2"/>
                      <w:sz w:val="21"/>
                      <w:szCs w:val="21"/>
                      <w:lang w:val="en-US" w:eastAsia="zh-CN" w:bidi="ar-SA"/>
                    </w:rPr>
                    <w:t>提高设备能力，人员能力、维保技术能力</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lang w:eastAsia="zh-CN"/>
              </w:rPr>
              <w:t>☑</w:t>
            </w:r>
            <w:r>
              <w:rPr>
                <w:rFonts w:hint="eastAsia"/>
                <w:lang w:val="en-US" w:eastAsia="zh-CN"/>
              </w:rPr>
              <w:t>固</w:t>
            </w:r>
            <w:r>
              <w:rPr>
                <w:rFonts w:hint="eastAsia"/>
              </w:rPr>
              <w:t>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3137"/>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7"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hint="eastAsia" w:eastAsia="宋体"/>
                      <w:sz w:val="18"/>
                      <w:szCs w:val="18"/>
                      <w:lang w:eastAsia="zh-CN"/>
                    </w:rPr>
                  </w:pPr>
                  <w:r>
                    <w:rPr>
                      <w:rFonts w:hint="eastAsia"/>
                      <w:bCs/>
                      <w:sz w:val="18"/>
                      <w:szCs w:val="18"/>
                    </w:rPr>
                    <w:t>固体废弃物分类处理率达100%</w:t>
                  </w:r>
                </w:p>
              </w:tc>
              <w:tc>
                <w:tcPr>
                  <w:tcW w:w="3137" w:type="dxa"/>
                  <w:shd w:val="clear" w:color="auto" w:fill="auto"/>
                  <w:vAlign w:val="center"/>
                </w:tcPr>
                <w:p>
                  <w:pPr>
                    <w:shd w:val="clear" w:color="auto" w:fill="EBF1DE" w:themeFill="accent3" w:themeFillTint="32"/>
                    <w:rPr>
                      <w:rFonts w:hint="default"/>
                      <w:sz w:val="18"/>
                      <w:szCs w:val="18"/>
                      <w:lang w:val="en-US"/>
                    </w:rPr>
                  </w:pPr>
                  <w:r>
                    <w:rPr>
                      <w:rFonts w:hint="eastAsia" w:cs="Times New Roman"/>
                      <w:sz w:val="18"/>
                      <w:szCs w:val="18"/>
                      <w:lang w:val="en-US" w:eastAsia="zh-CN"/>
                    </w:rPr>
                    <w:t>综合管理部</w:t>
                  </w:r>
                  <w:r>
                    <w:rPr>
                      <w:rFonts w:hint="eastAsia" w:ascii="Times New Roman" w:hAnsi="Times New Roman" w:cs="Times New Roman"/>
                      <w:sz w:val="18"/>
                      <w:szCs w:val="18"/>
                      <w:lang w:val="en-US" w:eastAsia="zh-CN"/>
                    </w:rPr>
                    <w:t>对人员进行培训，办公场所设置</w:t>
                  </w:r>
                  <w:r>
                    <w:rPr>
                      <w:rFonts w:hint="eastAsia" w:cs="Times New Roman"/>
                      <w:sz w:val="18"/>
                      <w:szCs w:val="18"/>
                      <w:lang w:val="en-US" w:eastAsia="zh-CN"/>
                    </w:rPr>
                    <w:t>固废分类处置箱</w:t>
                  </w:r>
                </w:p>
              </w:tc>
              <w:tc>
                <w:tcPr>
                  <w:tcW w:w="1214" w:type="dxa"/>
                  <w:shd w:val="clear" w:color="auto" w:fill="auto"/>
                  <w:vAlign w:val="center"/>
                </w:tcPr>
                <w:p>
                  <w:pPr>
                    <w:shd w:val="clear" w:color="auto" w:fill="EBF1DE" w:themeFill="accent3" w:themeFillTint="32"/>
                    <w:rPr>
                      <w:rFonts w:hint="eastAsia" w:eastAsia="宋体"/>
                      <w:sz w:val="18"/>
                      <w:szCs w:val="18"/>
                      <w:lang w:val="en-US" w:eastAsia="zh-CN"/>
                    </w:rPr>
                  </w:pPr>
                  <w:r>
                    <w:rPr>
                      <w:rFonts w:hint="eastAsia"/>
                      <w:sz w:val="18"/>
                      <w:szCs w:val="18"/>
                      <w:lang w:val="en-US" w:eastAsia="zh-CN"/>
                    </w:rPr>
                    <w:t>综合管理部</w:t>
                  </w:r>
                </w:p>
              </w:tc>
              <w:tc>
                <w:tcPr>
                  <w:tcW w:w="1774" w:type="dxa"/>
                  <w:shd w:val="clear" w:color="auto" w:fill="auto"/>
                  <w:vAlign w:val="center"/>
                </w:tcPr>
                <w:p>
                  <w:pPr>
                    <w:shd w:val="clear" w:color="auto" w:fill="EBF1DE" w:themeFill="accent3" w:themeFillTint="32"/>
                    <w:jc w:val="center"/>
                    <w:rPr>
                      <w:rFonts w:hint="eastAsia" w:ascii="宋体" w:hAnsi="宋体" w:eastAsia="宋体"/>
                      <w:sz w:val="18"/>
                      <w:szCs w:val="18"/>
                      <w:lang w:val="en-US" w:eastAsia="zh-CN"/>
                    </w:rPr>
                  </w:pPr>
                  <w:r>
                    <w:rPr>
                      <w:rFonts w:hint="eastAsia" w:ascii="宋体" w:hAnsi="宋体"/>
                      <w:sz w:val="18"/>
                      <w:szCs w:val="18"/>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400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eastAsia="楷体"/>
                <w:u w:val="single"/>
                <w:lang w:eastAsia="zh-CN"/>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r>
              <w:rPr>
                <w:rFonts w:hint="eastAsia" w:ascii="楷体" w:hAnsi="楷体" w:eastAsia="楷体"/>
                <w:szCs w:val="21"/>
                <w:lang w:eastAsia="zh-CN"/>
              </w:rPr>
              <w:t>、</w:t>
            </w:r>
            <w:r>
              <w:rPr>
                <w:rFonts w:hint="eastAsia" w:ascii="楷体" w:hAnsi="楷体" w:eastAsia="楷体" w:cs="楷体"/>
                <w:color w:val="auto"/>
                <w:sz w:val="21"/>
                <w:szCs w:val="21"/>
                <w:lang w:val="en-US" w:eastAsia="zh-CN"/>
              </w:rPr>
              <w:t>消防设施检测仪器</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国家危废名录、消防法</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22</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2022年4月7日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2022年4月12-13日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2022年4月22日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安全第一，预防为主；健康向上，共建和谐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综合管理部</w:t>
            </w:r>
          </w:p>
          <w:p>
            <w:r>
              <w:rPr>
                <w:rFonts w:hint="eastAsia"/>
              </w:rPr>
              <w:t>安全的主管部门是——</w:t>
            </w:r>
            <w:r>
              <w:rPr>
                <w:rFonts w:hint="eastAsia"/>
                <w:lang w:val="en-US" w:eastAsia="zh-CN"/>
              </w:rPr>
              <w:t>技术服务部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cs="Times New Roman"/>
                <w:b/>
                <w:bCs/>
                <w:sz w:val="22"/>
                <w:szCs w:val="28"/>
                <w:lang w:val="en-US" w:eastAsia="zh-CN"/>
              </w:rPr>
              <w:t>张益福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411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r>
                    <w:rPr>
                      <w:rFonts w:hint="eastAsia"/>
                    </w:rPr>
                    <w:t>主要的风险或机遇描述</w:t>
                  </w:r>
                </w:p>
              </w:tc>
              <w:tc>
                <w:tcPr>
                  <w:tcW w:w="4111"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top"/>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疫情爆发带来的不安定</w:t>
                  </w:r>
                </w:p>
              </w:tc>
              <w:tc>
                <w:tcPr>
                  <w:tcW w:w="4111" w:type="dxa"/>
                  <w:vAlign w:val="top"/>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制定疫情应对措施，配备防疫用品，进出测量体温、定期消杀、外地人员或去过风险地区人员的报备</w:t>
                  </w:r>
                </w:p>
              </w:tc>
              <w:tc>
                <w:tcPr>
                  <w:tcW w:w="1717" w:type="dxa"/>
                </w:tcPr>
                <w:p>
                  <w:pPr>
                    <w:rPr>
                      <w:rFonts w:hint="eastAsia"/>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p>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楷体" w:hAnsi="楷体" w:eastAsia="楷体" w:cs="楷体"/>
                      <w:color w:val="000000"/>
                      <w:kern w:val="0"/>
                      <w:sz w:val="21"/>
                      <w:szCs w:val="21"/>
                      <w:lang w:val="en-US" w:eastAsia="zh-CN" w:bidi="ar"/>
                    </w:rPr>
                    <w:t>火灾/意外伤害事故为零</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对人员进行培训，办公场所设置禁烟警示标识；进行应急预案演练；定期检查，及时排除火灾隐患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综合管理部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400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rFonts w:hint="eastAsia" w:eastAsia="楷体"/>
                <w:u w:val="single"/>
                <w:lang w:eastAsia="zh-CN"/>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r>
              <w:rPr>
                <w:rFonts w:hint="eastAsia" w:ascii="楷体" w:hAnsi="楷体" w:eastAsia="楷体"/>
                <w:szCs w:val="21"/>
                <w:lang w:eastAsia="zh-CN"/>
              </w:rPr>
              <w:t>、</w:t>
            </w:r>
            <w:r>
              <w:rPr>
                <w:rFonts w:hint="eastAsia" w:ascii="楷体" w:hAnsi="楷体" w:eastAsia="楷体" w:cs="楷体"/>
                <w:color w:val="auto"/>
                <w:sz w:val="21"/>
                <w:szCs w:val="21"/>
                <w:lang w:val="en-US" w:eastAsia="zh-CN"/>
              </w:rPr>
              <w:t>消防设施检测仪器</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消防法、治安管理处罚法</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组织的生产和服务提供流程图（见第三条款），企业危险源和职业健康安全风险控制情况</w:t>
            </w:r>
          </w:p>
          <w:p>
            <w:pPr>
              <w:pStyle w:val="12"/>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16</w:t>
            </w:r>
            <w:r>
              <w:rPr>
                <w:rFonts w:hint="eastAsia"/>
              </w:rPr>
              <w:t>日进行了</w:t>
            </w:r>
            <w:r>
              <w:rPr>
                <w:rFonts w:hint="eastAsia"/>
                <w:lang w:val="en-US" w:eastAsia="zh-CN"/>
              </w:rPr>
              <w:t>触电</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2022年4月7日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2022年4月12-13日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Pr>
              <w:rPr>
                <w:rFonts w:hint="eastAsia"/>
              </w:rPr>
            </w:pP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2022年4月22日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1B54628F"/>
    <w:rsid w:val="20797303"/>
    <w:rsid w:val="316E58B8"/>
    <w:rsid w:val="414519C0"/>
    <w:rsid w:val="6738252E"/>
    <w:rsid w:val="6D1728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19286</Words>
  <Characters>20193</Characters>
  <Lines>150</Lines>
  <Paragraphs>42</Paragraphs>
  <TotalTime>1</TotalTime>
  <ScaleCrop>false</ScaleCrop>
  <LinksUpToDate>false</LinksUpToDate>
  <CharactersWithSpaces>20315</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2022-07-01T07:28:31Z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2052-11.1.0.11753</vt:lpwstr>
  </property>
</Properties>
</file>