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0837-2022-E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无锡明燕装备有限公司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无锡明燕装备有限公司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无锡市滨湖区雪浪街道南湖中路</w:t>
            </w:r>
            <w:bookmarkEnd w:id="6"/>
          </w:p>
        </w:tc>
        <w:tc>
          <w:tcPr>
            <w:tcW w:w="1242" w:type="dxa"/>
            <w:vMerge w:val="restart"/>
            <w:vAlign w:val="center"/>
          </w:tcPr>
          <w:p>
            <w:r>
              <w:rPr>
                <w:rFonts w:hint="eastAsia"/>
              </w:rPr>
              <w:t>邮编</w:t>
            </w:r>
          </w:p>
        </w:tc>
        <w:tc>
          <w:tcPr>
            <w:tcW w:w="1771" w:type="dxa"/>
          </w:tcPr>
          <w:p>
            <w:bookmarkStart w:id="7" w:name="注册邮编"/>
            <w:r>
              <w:t>214128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无锡市滨湖区雪浪街道南湖中路</w:t>
            </w:r>
            <w:bookmarkEnd w:id="8"/>
          </w:p>
        </w:tc>
        <w:tc>
          <w:tcPr>
            <w:tcW w:w="1242" w:type="dxa"/>
            <w:vMerge w:val="continue"/>
            <w:vAlign w:val="center"/>
          </w:tcPr>
          <w:p/>
        </w:tc>
        <w:tc>
          <w:tcPr>
            <w:tcW w:w="1771" w:type="dxa"/>
          </w:tcPr>
          <w:p>
            <w:bookmarkStart w:id="9" w:name="办公邮编"/>
            <w:r>
              <w:t>214128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黄政</w:t>
            </w:r>
            <w:bookmarkEnd w:id="10"/>
          </w:p>
        </w:tc>
        <w:tc>
          <w:tcPr>
            <w:tcW w:w="1313" w:type="dxa"/>
            <w:vAlign w:val="center"/>
          </w:tcPr>
          <w:p>
            <w:r>
              <w:rPr>
                <w:rFonts w:hint="eastAsia"/>
              </w:rPr>
              <w:t>电话.</w:t>
            </w:r>
          </w:p>
        </w:tc>
        <w:tc>
          <w:tcPr>
            <w:tcW w:w="2180" w:type="dxa"/>
            <w:vAlign w:val="center"/>
          </w:tcPr>
          <w:p>
            <w:bookmarkStart w:id="11" w:name="联系人电话"/>
            <w:r>
              <w:t>0510-85952851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王洁</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薛丽君</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bookmarkStart w:id="32" w:name="_GoBack"/>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b w:val="0"/>
                <w:bCs/>
                <w:color w:val="000000"/>
                <w:szCs w:val="18"/>
              </w:rPr>
            </w:pPr>
            <w:r>
              <w:rPr>
                <w:rFonts w:hint="eastAsia"/>
                <w:b w:val="0"/>
                <w:bCs/>
                <w:sz w:val="20"/>
                <w:lang w:val="en-US" w:eastAsia="zh-CN"/>
              </w:rPr>
              <w:t>下料——成型——焊接——组装——试压——酸洗——喷漆——成品</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2022年06月21日 上午至2022年06月21日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无锡市滨湖区雪浪街道南湖中路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jc w:val="left"/>
              <w:rPr>
                <w:rFonts w:hint="eastAsia"/>
                <w:sz w:val="22"/>
                <w:szCs w:val="22"/>
              </w:rPr>
            </w:pPr>
            <w:r>
              <w:rPr>
                <w:rFonts w:hint="eastAsia"/>
                <w:sz w:val="22"/>
                <w:szCs w:val="22"/>
              </w:rPr>
              <w:t>A1级压力容器制造 A2级第三类低、中压容器设计和制造所涉及场所的相关环境管理活动</w:t>
            </w:r>
          </w:p>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17.07.02</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2021年7月1日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pPr>
            <w:r>
              <w:t>无锡明燕装备有限公司</w:t>
            </w:r>
          </w:p>
          <w:p>
            <w:pPr>
              <w:pStyle w:val="3"/>
              <w:ind w:left="0" w:leftChars="0" w:firstLine="0" w:firstLineChars="0"/>
              <w:rPr>
                <w:lang w:val="de-DE" w:eastAsia="ja-JP"/>
              </w:rPr>
            </w:pPr>
            <w:r>
              <w:rPr>
                <w:sz w:val="21"/>
                <w:szCs w:val="21"/>
              </w:rPr>
              <w:t>无锡市滨湖区雪浪街道南湖中路</w:t>
            </w:r>
          </w:p>
        </w:tc>
        <w:tc>
          <w:tcPr>
            <w:tcW w:w="2267" w:type="dxa"/>
            <w:vAlign w:val="top"/>
          </w:tcPr>
          <w:p>
            <w:pPr>
              <w:spacing w:before="40" w:after="40"/>
              <w:rPr>
                <w:lang w:val="de-DE" w:eastAsia="ja-JP"/>
              </w:rPr>
            </w:pPr>
            <w:r>
              <w:rPr>
                <w:sz w:val="21"/>
                <w:szCs w:val="21"/>
              </w:rPr>
              <w:t>无锡市滨湖区雪浪街道南湖中路</w:t>
            </w:r>
          </w:p>
        </w:tc>
        <w:tc>
          <w:tcPr>
            <w:tcW w:w="571" w:type="dxa"/>
            <w:vAlign w:val="center"/>
          </w:tcPr>
          <w:p>
            <w:pPr>
              <w:spacing w:before="40" w:after="40"/>
              <w:rPr>
                <w:lang w:eastAsia="ja-JP"/>
              </w:rPr>
            </w:pPr>
            <w:r>
              <w:rPr>
                <w:rFonts w:hint="eastAsia" w:eastAsia="黑体"/>
                <w:szCs w:val="21"/>
                <w:lang w:val="en-US" w:eastAsia="zh-CN"/>
              </w:rPr>
              <w:t>85</w:t>
            </w:r>
          </w:p>
        </w:tc>
        <w:tc>
          <w:tcPr>
            <w:tcW w:w="2803" w:type="dxa"/>
            <w:vAlign w:val="center"/>
          </w:tcPr>
          <w:p>
            <w:pPr>
              <w:pStyle w:val="21"/>
              <w:rPr>
                <w:rFonts w:hint="default" w:ascii="宋体" w:hAnsi="宋体" w:eastAsia="宋体"/>
                <w:sz w:val="21"/>
                <w:lang w:val="en-US" w:eastAsia="zh-CN"/>
              </w:rPr>
            </w:pPr>
            <w:r>
              <w:rPr>
                <w:rFonts w:hint="default" w:ascii="宋体" w:hAnsi="宋体" w:eastAsia="宋体"/>
                <w:sz w:val="21"/>
                <w:lang w:val="en-US" w:eastAsia="zh-CN"/>
              </w:rPr>
              <w:t>A1级压力容器制造</w:t>
            </w:r>
          </w:p>
          <w:p>
            <w:pPr>
              <w:pStyle w:val="21"/>
              <w:rPr>
                <w:rFonts w:hint="default" w:ascii="宋体" w:hAnsi="宋体" w:eastAsia="宋体"/>
                <w:sz w:val="21"/>
                <w:lang w:val="en-US" w:eastAsia="zh-CN"/>
              </w:rPr>
            </w:pPr>
            <w:r>
              <w:rPr>
                <w:rFonts w:hint="default" w:ascii="宋体" w:hAnsi="宋体" w:eastAsia="宋体"/>
                <w:sz w:val="21"/>
                <w:lang w:val="en-US" w:eastAsia="zh-CN"/>
              </w:rPr>
              <w:t>A2级第三类低、中压容器设计和制造</w:t>
            </w:r>
          </w:p>
          <w:p>
            <w:pPr>
              <w:pStyle w:val="21"/>
              <w:rPr>
                <w:rFonts w:hint="default" w:ascii="宋体" w:hAnsi="宋体" w:eastAsia="宋体"/>
                <w:sz w:val="21"/>
                <w:lang w:val="en-US" w:eastAsia="zh-CN"/>
              </w:rPr>
            </w:pPr>
            <w:r>
              <w:rPr>
                <w:rFonts w:hint="eastAsia"/>
                <w:sz w:val="21"/>
                <w:szCs w:val="21"/>
              </w:rPr>
              <w:t>所涉及场所的相关环境管理活动</w:t>
            </w:r>
          </w:p>
          <w:p>
            <w:pPr>
              <w:pStyle w:val="21"/>
              <w:rPr>
                <w:lang w:eastAsia="ja-JP"/>
              </w:rPr>
            </w:pPr>
          </w:p>
        </w:tc>
        <w:tc>
          <w:tcPr>
            <w:tcW w:w="669" w:type="dxa"/>
            <w:vAlign w:val="center"/>
          </w:tcPr>
          <w:p>
            <w:pPr>
              <w:spacing w:before="40" w:after="40"/>
              <w:rPr>
                <w:lang w:eastAsia="ja-JP"/>
              </w:rPr>
            </w:pPr>
            <w:r>
              <w:rPr>
                <w:rFonts w:hint="eastAsia" w:ascii="宋体" w:hAnsi="宋体"/>
                <w:b/>
                <w:sz w:val="21"/>
                <w:szCs w:val="21"/>
              </w:rPr>
              <w:t>GB/T24001-2016/ISO 14001:2015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2021-N1EMS-1210533</w:t>
            </w:r>
          </w:p>
        </w:tc>
        <w:tc>
          <w:tcPr>
            <w:tcW w:w="2179" w:type="dxa"/>
            <w:vAlign w:val="center"/>
          </w:tcPr>
          <w:p>
            <w:r>
              <w:t>17.07.02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2020-N1EMS-1263375</w:t>
            </w:r>
          </w:p>
        </w:tc>
        <w:tc>
          <w:tcPr>
            <w:tcW w:w="2179" w:type="dxa"/>
            <w:vAlign w:val="center"/>
          </w:tcPr>
          <w:p>
            <w:r>
              <w:t>17.07.02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组员</w:t>
            </w:r>
          </w:p>
        </w:tc>
        <w:tc>
          <w:tcPr>
            <w:tcW w:w="711" w:type="dxa"/>
            <w:vAlign w:val="center"/>
          </w:tcPr>
          <w:p>
            <w:r>
              <w:t>女</w:t>
            </w:r>
          </w:p>
        </w:tc>
        <w:tc>
          <w:tcPr>
            <w:tcW w:w="3870" w:type="dxa"/>
            <w:vAlign w:val="center"/>
          </w:tcPr>
          <w:p>
            <w:r>
              <w:t>2021-N1EMS-4043149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rPr>
            </w:pPr>
            <w:r>
              <w:rPr>
                <w:rFonts w:hint="eastAsia"/>
              </w:rPr>
              <w:t>原认证范围：</w:t>
            </w:r>
          </w:p>
          <w:p>
            <w:pPr>
              <w:rPr>
                <w:rFonts w:hint="eastAsia"/>
              </w:rPr>
            </w:pPr>
            <w:r>
              <w:rPr>
                <w:rFonts w:hint="eastAsia"/>
              </w:rPr>
              <w:t>A1压力容器制造 A2级第三类低、中压容器设计和制造</w:t>
            </w:r>
            <w:r>
              <w:rPr>
                <w:rFonts w:hint="eastAsia"/>
                <w:lang w:val="en-US" w:eastAsia="zh-CN"/>
              </w:rPr>
              <w:t xml:space="preserve"> </w:t>
            </w:r>
            <w:r>
              <w:rPr>
                <w:rFonts w:hint="eastAsia"/>
              </w:rPr>
              <w:t>所涉及场所的相关环境管理活动</w:t>
            </w:r>
          </w:p>
          <w:p>
            <w:pPr>
              <w:pStyle w:val="2"/>
              <w:rPr>
                <w:rFonts w:hint="eastAsia"/>
              </w:rPr>
            </w:pPr>
            <w:r>
              <w:rPr>
                <w:rFonts w:hint="eastAsia"/>
              </w:rPr>
              <w:t>变更为:</w:t>
            </w:r>
          </w:p>
          <w:p>
            <w:pPr>
              <w:pStyle w:val="2"/>
            </w:pPr>
            <w:r>
              <w:rPr>
                <w:rFonts w:hint="eastAsia"/>
              </w:rPr>
              <w:t>A1级压力容器制造（高压容器限单层） A2级第三类低、中压容器设计和制造</w:t>
            </w:r>
            <w:r>
              <w:rPr>
                <w:rFonts w:hint="eastAsia"/>
                <w:lang w:val="en-US" w:eastAsia="zh-CN"/>
              </w:rPr>
              <w:t xml:space="preserve">  </w:t>
            </w:r>
            <w:r>
              <w:rPr>
                <w:rFonts w:hint="eastAsia"/>
              </w:rPr>
              <w:t>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w:t>
      </w:r>
      <w:r>
        <w:rPr>
          <w:rFonts w:hint="eastAsia"/>
        </w:rPr>
        <w:sym w:font="Wingdings 2" w:char="00A3"/>
      </w:r>
      <w:r>
        <w:rPr>
          <w:rFonts w:hint="eastAsia"/>
        </w:rPr>
        <w:t>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rPr>
            </w:pPr>
            <w:r>
              <w:rPr>
                <w:rFonts w:hint="eastAsia"/>
              </w:rPr>
              <w:t>原认证范围：</w:t>
            </w:r>
          </w:p>
          <w:p>
            <w:pPr>
              <w:rPr>
                <w:rFonts w:hint="eastAsia"/>
              </w:rPr>
            </w:pPr>
            <w:r>
              <w:rPr>
                <w:rFonts w:hint="eastAsia"/>
              </w:rPr>
              <w:t>A1压力容器制造 A2级第三类低、中压容器设计和制造</w:t>
            </w:r>
            <w:r>
              <w:rPr>
                <w:rFonts w:hint="eastAsia"/>
                <w:lang w:val="en-US" w:eastAsia="zh-CN"/>
              </w:rPr>
              <w:t xml:space="preserve"> </w:t>
            </w:r>
            <w:r>
              <w:rPr>
                <w:rFonts w:hint="eastAsia"/>
              </w:rPr>
              <w:t>所涉及场所的相关环境管理活动</w:t>
            </w:r>
          </w:p>
          <w:p>
            <w:pPr>
              <w:pStyle w:val="2"/>
              <w:rPr>
                <w:rFonts w:hint="eastAsia"/>
              </w:rPr>
            </w:pPr>
            <w:r>
              <w:rPr>
                <w:rFonts w:hint="eastAsia"/>
              </w:rPr>
              <w:t>变更为:</w:t>
            </w:r>
          </w:p>
          <w:p>
            <w:r>
              <w:rPr>
                <w:rFonts w:hint="eastAsia"/>
              </w:rPr>
              <w:t>A1级压力容器制造（高压容器限单层） A2级第三类低、中压容器设计和制造</w:t>
            </w:r>
            <w:r>
              <w:rPr>
                <w:rFonts w:hint="eastAsia"/>
                <w:lang w:val="en-US" w:eastAsia="zh-CN"/>
              </w:rPr>
              <w:t xml:space="preserve">  </w:t>
            </w:r>
            <w:r>
              <w:rPr>
                <w:rFonts w:hint="eastAsia"/>
              </w:rPr>
              <w:t>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w:t>
            </w:r>
            <w:r>
              <w:rPr>
                <w:rFonts w:hint="eastAsia" w:ascii="宋体"/>
                <w:b/>
                <w:color w:val="0000FF"/>
                <w:szCs w:val="21"/>
              </w:rPr>
              <w:sym w:font="Wingdings 2" w:char="00A3"/>
            </w:r>
            <w:r>
              <w:rPr>
                <w:rFonts w:hint="eastAsia" w:ascii="宋体"/>
                <w:b/>
                <w:color w:val="0000FF"/>
                <w:szCs w:val="21"/>
              </w:rPr>
              <w:t>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4026535</wp:posOffset>
                  </wp:positionH>
                  <wp:positionV relativeFrom="paragraph">
                    <wp:posOffset>-9525</wp:posOffset>
                  </wp:positionV>
                  <wp:extent cx="662305" cy="1136015"/>
                  <wp:effectExtent l="66040" t="0" r="0" b="0"/>
                  <wp:wrapNone/>
                  <wp:docPr id="2" name="图片 2" descr="微信图片_2022061913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19134045"/>
                          <pic:cNvPicPr>
                            <a:picLocks noChangeAspect="1"/>
                          </pic:cNvPicPr>
                        </pic:nvPicPr>
                        <pic:blipFill>
                          <a:blip r:embed="rId6">
                            <a:clrChange>
                              <a:clrFrom>
                                <a:srgbClr val="A6A299"/>
                              </a:clrFrom>
                              <a:clrTo>
                                <a:srgbClr val="A6A299">
                                  <a:alpha val="0"/>
                                </a:srgbClr>
                              </a:clrTo>
                            </a:clrChange>
                          </a:blip>
                          <a:srcRect l="48480" t="43132" r="37505" b="25702"/>
                          <a:stretch>
                            <a:fillRect/>
                          </a:stretch>
                        </pic:blipFill>
                        <pic:spPr>
                          <a:xfrm rot="17100000">
                            <a:off x="0" y="0"/>
                            <a:ext cx="662305" cy="1136015"/>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609600</wp:posOffset>
                  </wp:positionH>
                  <wp:positionV relativeFrom="paragraph">
                    <wp:posOffset>-435610</wp:posOffset>
                  </wp:positionV>
                  <wp:extent cx="391160" cy="1258570"/>
                  <wp:effectExtent l="0" t="0" r="0" b="0"/>
                  <wp:wrapNone/>
                  <wp:docPr id="1" name="图片 3" descr="G:\8 测量管理体系\1 个人\1 受审核企业\2022.6.13-14-Q-河北鼎润智能装备制造有限公司\签名和日期\微信图片_20220609194828.jpg微信图片_202206091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G:\8 测量管理体系\1 个人\1 受审核企业\2022.6.13-14-Q-河北鼎润智能装备制造有限公司\签名和日期\微信图片_20220609194828.jpg微信图片_20220609194828"/>
                          <pic:cNvPicPr>
                            <a:picLocks noChangeAspect="1"/>
                          </pic:cNvPicPr>
                        </pic:nvPicPr>
                        <pic:blipFill>
                          <a:blip r:embed="rId7">
                            <a:clrChange>
                              <a:clrFrom>
                                <a:srgbClr val="ACADA8"/>
                              </a:clrFrom>
                              <a:clrTo>
                                <a:srgbClr val="ACADA8">
                                  <a:alpha val="0"/>
                                </a:srgbClr>
                              </a:clrTo>
                            </a:clrChange>
                            <a:lum bright="29999" contrast="48000"/>
                          </a:blip>
                          <a:srcRect l="56487" r="25479" b="76657"/>
                          <a:stretch>
                            <a:fillRect/>
                          </a:stretch>
                        </pic:blipFill>
                        <pic:spPr>
                          <a:xfrm rot="-5400000">
                            <a:off x="0" y="0"/>
                            <a:ext cx="391160" cy="125857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A3"/>
                  </w:r>
                  <w:r>
                    <w:rPr>
                      <w:rFonts w:hint="eastAsia"/>
                    </w:rPr>
                    <w:t>设备</w:t>
                  </w:r>
                  <w:r>
                    <w:rPr>
                      <w:rFonts w:hint="eastAsia"/>
                    </w:rPr>
                    <w:sym w:font="Wingdings 2" w:char="0052"/>
                  </w:r>
                  <w:r>
                    <w:rPr>
                      <w:rFonts w:hint="eastAsia"/>
                    </w:rPr>
                    <w:t>人员能力</w:t>
                  </w:r>
                </w:p>
                <w:p>
                  <w:pPr>
                    <w:shd w:val="clear" w:color="auto" w:fill="EBF1DE"/>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主管部门</w:t>
                  </w:r>
                </w:p>
              </w:tc>
              <w:tc>
                <w:tcPr>
                  <w:tcW w:w="6912" w:type="dxa"/>
                  <w:vAlign w:val="top"/>
                </w:tcPr>
                <w:p>
                  <w:pPr>
                    <w:shd w:val="clear" w:color="auto" w:fill="EBF1DE"/>
                  </w:pPr>
                  <w:r>
                    <w:rPr>
                      <w:rFonts w:hint="eastAsia"/>
                    </w:rPr>
                    <w:sym w:font="Wingdings 2" w:char="0052"/>
                  </w:r>
                  <w:r>
                    <w:rPr>
                      <w:rFonts w:hint="eastAsia"/>
                    </w:rPr>
                    <w:t>遵守环境相关的法律法规、</w:t>
                  </w:r>
                  <w:r>
                    <w:rPr>
                      <w:rFonts w:hint="eastAsia"/>
                    </w:rPr>
                    <w:sym w:font="Wingdings 2" w:char="0052"/>
                  </w:r>
                  <w:r>
                    <w:rPr>
                      <w:rFonts w:hint="eastAsi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供方</w:t>
                  </w:r>
                </w:p>
              </w:tc>
              <w:tc>
                <w:tcPr>
                  <w:tcW w:w="6912" w:type="dxa"/>
                  <w:vAlign w:val="top"/>
                </w:tcPr>
                <w:p>
                  <w:pPr>
                    <w:shd w:val="clear" w:color="auto" w:fill="EBF1DE"/>
                  </w:pPr>
                  <w:r>
                    <w:rPr>
                      <w:rFonts w:hint="eastAsia"/>
                    </w:rPr>
                    <w:sym w:font="Wingdings 2" w:char="0052"/>
                  </w:r>
                  <w:r>
                    <w:rPr>
                      <w:rFonts w:hint="eastAsia"/>
                    </w:rPr>
                    <w:t>组织的持续经营、</w:t>
                  </w:r>
                  <w:r>
                    <w:rPr>
                      <w:rFonts w:hint="eastAsia"/>
                    </w:rPr>
                    <w:sym w:font="Wingdings 2" w:char="0052"/>
                  </w:r>
                  <w:r>
                    <w:rPr>
                      <w:rFonts w:hint="eastAsia"/>
                    </w:rPr>
                    <w:t>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顾客</w:t>
                  </w:r>
                </w:p>
              </w:tc>
              <w:tc>
                <w:tcPr>
                  <w:tcW w:w="6912" w:type="dxa"/>
                  <w:vAlign w:val="top"/>
                </w:tcPr>
                <w:p>
                  <w:pPr>
                    <w:shd w:val="clear" w:color="auto" w:fill="EBF1DE"/>
                  </w:pPr>
                  <w:r>
                    <w:rPr>
                      <w:rFonts w:hint="eastAsia"/>
                    </w:rPr>
                    <w:sym w:font="Wingdings 2" w:char="0052"/>
                  </w:r>
                  <w:r>
                    <w:rPr>
                      <w:rFonts w:hint="eastAsia"/>
                    </w:rPr>
                    <w:t>持续经营，不因环境违规停产；</w:t>
                  </w:r>
                  <w:r>
                    <w:rPr>
                      <w:rFonts w:hint="eastAsia"/>
                    </w:rPr>
                    <w:sym w:font="Wingdings 2" w:char="0052"/>
                  </w:r>
                  <w:r>
                    <w:rPr>
                      <w:rFonts w:hint="eastAsia"/>
                    </w:rPr>
                    <w:t>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社区</w:t>
                  </w:r>
                </w:p>
              </w:tc>
              <w:tc>
                <w:tcPr>
                  <w:tcW w:w="6912" w:type="dxa"/>
                  <w:vAlign w:val="top"/>
                </w:tcPr>
                <w:p>
                  <w:pPr>
                    <w:shd w:val="clear" w:color="auto" w:fill="EBF1DE"/>
                  </w:pPr>
                  <w:r>
                    <w:rPr>
                      <w:rFonts w:hint="eastAsia"/>
                    </w:rPr>
                    <w:sym w:font="Wingdings 2" w:char="0052"/>
                  </w:r>
                  <w:r>
                    <w:rPr>
                      <w:rFonts w:hint="eastAsia"/>
                    </w:rPr>
                    <w:t>遵守环境相关的法律法规、达标排放；</w:t>
                  </w:r>
                  <w:r>
                    <w:rPr>
                      <w:rFonts w:hint="eastAsia"/>
                    </w:rPr>
                    <w:sym w:font="Wingdings 2" w:char="0052"/>
                  </w:r>
                  <w:r>
                    <w:rPr>
                      <w:rFonts w:hint="eastAsia"/>
                    </w:rPr>
                    <w:t>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员工</w:t>
                  </w:r>
                </w:p>
              </w:tc>
              <w:tc>
                <w:tcPr>
                  <w:tcW w:w="6912" w:type="dxa"/>
                  <w:vAlign w:val="top"/>
                </w:tcPr>
                <w:p>
                  <w:pPr>
                    <w:shd w:val="clear" w:color="auto" w:fill="EBF1DE"/>
                  </w:pPr>
                  <w:r>
                    <w:rPr>
                      <w:rFonts w:hint="eastAsia"/>
                    </w:rPr>
                    <w:sym w:font="Wingdings 2" w:char="0052"/>
                  </w:r>
                  <w:r>
                    <w:rPr>
                      <w:rFonts w:hint="eastAsia"/>
                    </w:rPr>
                    <w:t>组织的持续经营、</w:t>
                  </w:r>
                  <w:r>
                    <w:rPr>
                      <w:rFonts w:hint="eastAsia"/>
                    </w:rPr>
                    <w:sym w:font="Wingdings 2" w:char="0052"/>
                  </w:r>
                  <w:r>
                    <w:rPr>
                      <w:rFonts w:hint="eastAsia"/>
                    </w:rPr>
                    <w:t>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pPr>
                  <w:r>
                    <w:rPr>
                      <w:rFonts w:hint="eastAsia"/>
                    </w:rPr>
                    <w:sym w:font="Wingdings 2" w:char="0052"/>
                  </w:r>
                  <w:r>
                    <w:rPr>
                      <w:rFonts w:hint="eastAsia"/>
                    </w:rPr>
                    <w:t>投资方</w:t>
                  </w:r>
                </w:p>
              </w:tc>
              <w:tc>
                <w:tcPr>
                  <w:tcW w:w="6912" w:type="dxa"/>
                  <w:vAlign w:val="top"/>
                </w:tcPr>
                <w:p>
                  <w:pPr>
                    <w:shd w:val="clear" w:color="auto" w:fill="EBF1DE"/>
                  </w:pPr>
                  <w:r>
                    <w:rPr>
                      <w:rFonts w:hint="eastAsia"/>
                    </w:rPr>
                    <w:sym w:font="Wingdings 2" w:char="0052"/>
                  </w:r>
                  <w:r>
                    <w:rPr>
                      <w:rFonts w:hint="eastAsia"/>
                    </w:rPr>
                    <w:t>组织的持续经营、盈利；</w:t>
                  </w:r>
                  <w:r>
                    <w:rPr>
                      <w:rFonts w:hint="eastAsia"/>
                    </w:rPr>
                    <w:sym w:font="Wingdings 2" w:char="0052"/>
                  </w:r>
                  <w:r>
                    <w:rPr>
                      <w:rFonts w:hint="eastAsia"/>
                    </w:rPr>
                    <w:t>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r>
              <w:rPr>
                <w:rFonts w:hint="eastAsia" w:asciiTheme="minorEastAsia" w:hAnsiTheme="minorEastAsia" w:eastAsiaTheme="minorEastAsia"/>
                <w:color w:val="auto"/>
                <w:szCs w:val="21"/>
              </w:rPr>
              <w:t>A1压力容器制造 A2级第三类低、中压容</w:t>
            </w:r>
            <w:r>
              <w:rPr>
                <w:rFonts w:hint="eastAsia" w:asciiTheme="minorEastAsia" w:hAnsiTheme="minorEastAsia" w:eastAsiaTheme="minorEastAsia"/>
                <w:color w:val="000000"/>
                <w:szCs w:val="21"/>
              </w:rPr>
              <w:t>器设计和制造所涉及场所的相关环境管理活动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spacing w:before="40" w:after="40"/>
            </w:pPr>
            <w:r>
              <w:rPr>
                <w:rFonts w:hint="eastAsia"/>
              </w:rPr>
              <w:t>已将环境管理体系要求融入到其各项业务过程中，包括：</w:t>
            </w:r>
          </w:p>
          <w:p>
            <w:pPr>
              <w:shd w:val="clear" w:color="auto" w:fill="EBF1DE"/>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spacing w:before="40" w:after="40"/>
            </w:pPr>
            <w:r>
              <w:rPr>
                <w:rFonts w:hint="eastAsia"/>
              </w:rPr>
              <w:sym w:font="Wingdings 2" w:char="00A3"/>
            </w:r>
            <w:r>
              <w:rPr>
                <w:rFonts w:hint="eastAsia"/>
              </w:rPr>
              <w:t>环评三同时□其他</w:t>
            </w:r>
          </w:p>
          <w:p>
            <w:pPr>
              <w:shd w:val="clear" w:color="auto" w:fill="EBF1DE"/>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spacing w:before="40" w:after="40"/>
            </w:pPr>
            <w:r>
              <w:rPr>
                <w:rFonts w:hint="eastAsia"/>
              </w:rPr>
              <w:sym w:font="Wingdings 2" w:char="0052"/>
            </w:r>
            <w:r>
              <w:rPr>
                <w:rFonts w:hint="eastAsia"/>
              </w:rPr>
              <w:t>危险废物处置□消防检测</w:t>
            </w:r>
            <w:r>
              <w:rPr>
                <w:rFonts w:hint="eastAsia"/>
              </w:rPr>
              <w:sym w:font="Wingdings 2" w:char="00A3"/>
            </w:r>
            <w:r>
              <w:rPr>
                <w:rFonts w:hint="eastAsia"/>
              </w:rPr>
              <w:t>生产/服务过程</w:t>
            </w:r>
            <w:r>
              <w:rPr>
                <w:rFonts w:hint="eastAsia"/>
              </w:rPr>
              <w:sym w:font="Wingdings 2" w:char="0052"/>
            </w:r>
            <w:r>
              <w:rPr>
                <w:rFonts w:hint="eastAsia"/>
              </w:rPr>
              <w:t>环保监测□产品运输□设备维修</w:t>
            </w:r>
          </w:p>
          <w:p>
            <w:pPr>
              <w:shd w:val="clear" w:color="auto" w:fill="EBF1DE"/>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u w:val="single"/>
              </w:rPr>
              <w:t>安全为天  质量为先  美化环境  守法诚信  创新发展  顾客满意</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经管部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rPr>
                    <w:t>主要的风险或机遇描述</w:t>
                  </w:r>
                </w:p>
              </w:tc>
              <w:tc>
                <w:tcPr>
                  <w:tcW w:w="3965" w:type="dxa"/>
                  <w:vAlign w:val="top"/>
                </w:tcPr>
                <w:p>
                  <w:pPr>
                    <w:shd w:val="clear" w:color="auto" w:fill="EBF1DE" w:themeFill="accent3" w:themeFillTint="32"/>
                  </w:pPr>
                  <w:r>
                    <w:rPr>
                      <w:rFonts w:hint="eastAsia"/>
                    </w:rPr>
                    <w:t>应对措施</w:t>
                  </w:r>
                </w:p>
              </w:tc>
              <w:tc>
                <w:tcPr>
                  <w:tcW w:w="1717" w:type="dxa"/>
                  <w:vAlign w:val="top"/>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rPr>
                    <w:t>如果公司现有的运行环境以及设施、设备管理不善，造成的服务停滞，环境污染，会给公司造成很大的服务风险</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rPr>
                    <w:t>制定设备设施年度维保计划，并按照要求进行维保，提高办公环境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s="Times New Roman"/>
                      <w:kern w:val="2"/>
                      <w:sz w:val="21"/>
                      <w:szCs w:val="24"/>
                      <w:vertAlign w:val="baseline"/>
                      <w:lang w:val="en-US" w:eastAsia="zh-CN" w:bidi="ar-SA"/>
                    </w:rPr>
                    <w:t>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建筑消防检测、消防演练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pPr>
            <w:r>
              <w:rPr>
                <w:rFonts w:hint="eastAsia"/>
              </w:rPr>
              <w:t>、异常状况和可合理预见的紧急情况。</w:t>
            </w:r>
          </w:p>
          <w:p>
            <w:pPr>
              <w:shd w:val="clear" w:color="auto" w:fill="EBF1DE"/>
            </w:pPr>
            <w:r>
              <w:rPr>
                <w:rFonts w:hint="eastAsia"/>
              </w:rPr>
              <w:t>制订了文件化的评价重要环境因素的准则，重要环境因素已识别，且对它们的重要性和对环境的影响被定期评审和更新。</w:t>
            </w:r>
          </w:p>
          <w:p>
            <w:pPr>
              <w:shd w:val="clear" w:color="auto" w:fill="EBF1DE"/>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A3"/>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排污许可证编号：91140603MA0L6M3F0J001Z</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rPr>
                <w:color w:val="000000"/>
                <w:szCs w:val="18"/>
                <w:highlight w:val="magenta"/>
              </w:rPr>
            </w:pPr>
            <w:r>
              <w:rPr>
                <w:rFonts w:hint="eastAsia"/>
              </w:rPr>
              <w:sym w:font="Wingdings 2" w:char="0052"/>
            </w:r>
            <w:r>
              <w:rPr>
                <w:rFonts w:hint="eastAsia"/>
              </w:rPr>
              <w:t>其他</w:t>
            </w:r>
          </w:p>
          <w:p>
            <w:pPr>
              <w:shd w:val="clear" w:color="auto" w:fill="EBF1DE" w:themeFill="accent3" w:themeFillTint="32"/>
              <w:rPr>
                <w:rFonts w:hint="eastAsia"/>
                <w:highlight w:val="none"/>
              </w:rPr>
            </w:pPr>
            <w:r>
              <w:rPr>
                <w:rFonts w:hint="eastAsia"/>
                <w:highlight w:val="none"/>
              </w:rPr>
              <w:t>《无锡明燕装备有限公司"压力容器项目”环境保护自查评估报告》（2016 年11月14日）</w:t>
            </w:r>
          </w:p>
          <w:p>
            <w:pPr>
              <w:shd w:val="clear" w:color="auto" w:fill="EBF1DE" w:themeFill="accent3" w:themeFillTint="32"/>
              <w:rPr>
                <w:rFonts w:hint="eastAsia"/>
                <w:highlight w:val="none"/>
              </w:rPr>
            </w:pPr>
            <w:r>
              <w:rPr>
                <w:rFonts w:hint="eastAsia"/>
                <w:highlight w:val="none"/>
              </w:rPr>
              <w:t>“压力容器项目”《竣工环境保护验收监测报告表》（2020年1月）</w:t>
            </w:r>
          </w:p>
          <w:p>
            <w:pPr>
              <w:shd w:val="clear" w:color="auto" w:fill="EBF1DE" w:themeFill="accent3" w:themeFillTint="32"/>
              <w:rPr>
                <w:rFonts w:hint="eastAsia"/>
                <w:highlight w:val="none"/>
              </w:rPr>
            </w:pPr>
            <w:r>
              <w:rPr>
                <w:rFonts w:hint="eastAsia"/>
                <w:highlight w:val="none"/>
              </w:rPr>
              <w:t>《无锡市滨湖区环境保护局建设项目清理整治登记备案意见》</w:t>
            </w:r>
          </w:p>
          <w:p>
            <w:pPr>
              <w:shd w:val="clear" w:color="auto" w:fill="EBF1DE" w:themeFill="accent3" w:themeFillTint="32"/>
              <w:rPr>
                <w:highlight w:val="cyan"/>
              </w:rPr>
            </w:pPr>
            <w:r>
              <w:rPr>
                <w:rFonts w:hint="eastAsia"/>
                <w:highlight w:val="none"/>
              </w:rPr>
              <w:t>《全国建设项目竣工环境保护验收信息系统 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rPr>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1216"/>
              <w:gridCol w:w="306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完成情况（2021年7月-2022年3月）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rFonts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固废处理达标排放</w:t>
                  </w:r>
                </w:p>
              </w:tc>
              <w:tc>
                <w:tcPr>
                  <w:tcW w:w="1387" w:type="dxa"/>
                </w:tcPr>
                <w:p>
                  <w:pPr>
                    <w:widowControl/>
                    <w:spacing w:before="40"/>
                    <w:jc w:val="left"/>
                    <w:rPr>
                      <w:rFonts w:hint="default" w:eastAsia="宋体"/>
                      <w:color w:val="000000"/>
                      <w:szCs w:val="18"/>
                      <w:highlight w:val="cyan"/>
                      <w:lang w:val="en-US" w:eastAsia="zh-CN"/>
                    </w:rPr>
                  </w:pPr>
                  <w:r>
                    <w:rPr>
                      <w:rFonts w:hint="eastAsia"/>
                      <w:color w:val="000000"/>
                      <w:szCs w:val="18"/>
                      <w:highlight w:val="none"/>
                      <w:lang w:val="en-US" w:eastAsia="zh-CN"/>
                    </w:rPr>
                    <w:t>一季度</w:t>
                  </w:r>
                </w:p>
              </w:tc>
              <w:tc>
                <w:tcPr>
                  <w:tcW w:w="3499" w:type="dxa"/>
                  <w:vAlign w:val="top"/>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rPr>
                    <w:t>固体废弃物有效处置率=固体废弃物有效处置数÷固体废物总数×100%。</w:t>
                  </w:r>
                </w:p>
              </w:tc>
              <w:tc>
                <w:tcPr>
                  <w:tcW w:w="2444" w:type="dxa"/>
                  <w:vAlign w:val="center"/>
                </w:tcPr>
                <w:p>
                  <w:pPr>
                    <w:spacing w:line="300" w:lineRule="exact"/>
                    <w:jc w:val="center"/>
                    <w:rPr>
                      <w:rFonts w:hint="eastAsia" w:ascii="宋体" w:hAnsi="宋体" w:eastAsia="宋体" w:cs="宋体"/>
                      <w:kern w:val="2"/>
                      <w:sz w:val="24"/>
                      <w:lang w:val="en-US" w:eastAsia="zh-CN" w:bidi="ar-SA"/>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rFonts w:hint="default"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噪声合规排放</w:t>
                  </w:r>
                </w:p>
              </w:tc>
              <w:tc>
                <w:tcPr>
                  <w:tcW w:w="1387" w:type="dxa"/>
                </w:tcPr>
                <w:p>
                  <w:pPr>
                    <w:widowControl/>
                    <w:spacing w:before="40"/>
                    <w:jc w:val="left"/>
                    <w:rPr>
                      <w:color w:val="000000"/>
                      <w:szCs w:val="18"/>
                      <w:highlight w:val="cyan"/>
                    </w:rPr>
                  </w:pPr>
                  <w:r>
                    <w:rPr>
                      <w:rFonts w:hint="eastAsia"/>
                      <w:color w:val="000000"/>
                      <w:szCs w:val="18"/>
                      <w:highlight w:val="none"/>
                      <w:lang w:val="en-US" w:eastAsia="zh-CN"/>
                    </w:rPr>
                    <w:t>一年</w:t>
                  </w:r>
                </w:p>
              </w:tc>
              <w:tc>
                <w:tcPr>
                  <w:tcW w:w="3499"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委托第三方检测</w:t>
                  </w:r>
                </w:p>
              </w:tc>
              <w:tc>
                <w:tcPr>
                  <w:tcW w:w="2444" w:type="dxa"/>
                  <w:vAlign w:val="center"/>
                </w:tcPr>
                <w:p>
                  <w:pPr>
                    <w:spacing w:line="300" w:lineRule="exact"/>
                    <w:jc w:val="center"/>
                    <w:rPr>
                      <w:rFonts w:hint="eastAsia" w:ascii="宋体" w:hAnsi="宋体" w:eastAsia="宋体" w:cs="宋体"/>
                      <w:kern w:val="2"/>
                      <w:sz w:val="24"/>
                      <w:szCs w:val="24"/>
                      <w:lang w:val="en-GB" w:eastAsia="zh-CN" w:bidi="ar-SA"/>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废气合规排放</w:t>
                  </w:r>
                </w:p>
              </w:tc>
              <w:tc>
                <w:tcPr>
                  <w:tcW w:w="1387" w:type="dxa"/>
                </w:tcPr>
                <w:p>
                  <w:pPr>
                    <w:widowControl/>
                    <w:spacing w:before="40"/>
                    <w:jc w:val="left"/>
                    <w:rPr>
                      <w:color w:val="000000"/>
                      <w:szCs w:val="18"/>
                      <w:highlight w:val="cyan"/>
                    </w:rPr>
                  </w:pPr>
                  <w:r>
                    <w:rPr>
                      <w:rFonts w:hint="eastAsia"/>
                      <w:color w:val="000000"/>
                      <w:szCs w:val="18"/>
                      <w:highlight w:val="none"/>
                      <w:lang w:val="en-US" w:eastAsia="zh-CN"/>
                    </w:rPr>
                    <w:t>一年</w:t>
                  </w:r>
                </w:p>
              </w:tc>
              <w:tc>
                <w:tcPr>
                  <w:tcW w:w="3499" w:type="dxa"/>
                  <w:vAlign w:val="center"/>
                </w:tcPr>
                <w:p>
                  <w:pPr>
                    <w:spacing w:line="0" w:lineRule="atLeast"/>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Cs w:val="21"/>
                      <w:lang w:val="en-US" w:eastAsia="zh-CN"/>
                    </w:rPr>
                    <w:t>委托第三方检测</w:t>
                  </w:r>
                </w:p>
              </w:tc>
              <w:tc>
                <w:tcPr>
                  <w:tcW w:w="2444" w:type="dxa"/>
                  <w:vAlign w:val="center"/>
                </w:tcPr>
                <w:p>
                  <w:pPr>
                    <w:spacing w:line="300" w:lineRule="exact"/>
                    <w:jc w:val="center"/>
                    <w:rPr>
                      <w:rFonts w:hint="eastAsia" w:ascii="宋体" w:hAnsi="宋体" w:eastAsia="宋体" w:cs="宋体"/>
                      <w:kern w:val="0"/>
                      <w:sz w:val="21"/>
                      <w:szCs w:val="21"/>
                      <w:lang w:val="en-GB" w:eastAsia="zh-CN" w:bidi="ar-SA"/>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废水合规排放</w:t>
                  </w:r>
                </w:p>
              </w:tc>
              <w:tc>
                <w:tcPr>
                  <w:tcW w:w="1387" w:type="dxa"/>
                </w:tcPr>
                <w:p>
                  <w:pPr>
                    <w:widowControl/>
                    <w:spacing w:before="40"/>
                    <w:jc w:val="left"/>
                    <w:rPr>
                      <w:color w:val="000000"/>
                      <w:szCs w:val="18"/>
                      <w:highlight w:val="cyan"/>
                    </w:rPr>
                  </w:pPr>
                  <w:r>
                    <w:rPr>
                      <w:rFonts w:hint="eastAsia"/>
                      <w:color w:val="000000"/>
                      <w:szCs w:val="18"/>
                      <w:highlight w:val="none"/>
                      <w:lang w:val="en-US" w:eastAsia="zh-CN"/>
                    </w:rPr>
                    <w:t>一年</w:t>
                  </w:r>
                </w:p>
              </w:tc>
              <w:tc>
                <w:tcPr>
                  <w:tcW w:w="3499" w:type="dxa"/>
                  <w:vAlign w:val="center"/>
                </w:tcPr>
                <w:p>
                  <w:pPr>
                    <w:spacing w:line="280" w:lineRule="exact"/>
                    <w:jc w:val="left"/>
                    <w:rPr>
                      <w:rFonts w:hint="eastAsia" w:ascii="宋体" w:hAnsi="宋体" w:eastAsia="宋体" w:cs="Times New Roman"/>
                      <w:kern w:val="2"/>
                      <w:sz w:val="21"/>
                      <w:szCs w:val="21"/>
                      <w:lang w:val="en-US" w:eastAsia="zh-CN" w:bidi="ar-SA"/>
                    </w:rPr>
                  </w:pPr>
                  <w:r>
                    <w:rPr>
                      <w:rFonts w:hint="eastAsia" w:ascii="宋体" w:hAnsi="宋体" w:eastAsia="宋体" w:cs="宋体"/>
                      <w:bCs/>
                      <w:color w:val="000000"/>
                      <w:szCs w:val="21"/>
                      <w:lang w:val="en-US" w:eastAsia="zh-CN"/>
                    </w:rPr>
                    <w:t>委托第三方检测</w:t>
                  </w:r>
                </w:p>
              </w:tc>
              <w:tc>
                <w:tcPr>
                  <w:tcW w:w="2444" w:type="dxa"/>
                  <w:vAlign w:val="center"/>
                </w:tcPr>
                <w:p>
                  <w:pPr>
                    <w:spacing w:line="300" w:lineRule="exact"/>
                    <w:jc w:val="center"/>
                    <w:rPr>
                      <w:rFonts w:hint="eastAsia" w:ascii="宋体" w:hAnsi="宋体" w:eastAsia="宋体" w:cs="宋体"/>
                      <w:kern w:val="0"/>
                      <w:sz w:val="21"/>
                      <w:szCs w:val="21"/>
                      <w:lang w:val="en-GB" w:eastAsia="zh-CN" w:bidi="ar-SA"/>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rFonts w:hint="eastAsia" w:ascii="宋体" w:hAnsi="宋体" w:eastAsia="宋体" w:cs="宋体"/>
                      <w:color w:val="000000"/>
                      <w:kern w:val="0"/>
                      <w:sz w:val="21"/>
                      <w:szCs w:val="21"/>
                      <w:lang w:val="en-US" w:eastAsia="zh-CN" w:bidi="ar"/>
                    </w:rPr>
                  </w:pPr>
                  <w:r>
                    <w:rPr>
                      <w:rFonts w:hint="eastAsia" w:ascii="宋体" w:hAnsi="宋体" w:cs="Times New Roman"/>
                      <w:sz w:val="21"/>
                      <w:szCs w:val="21"/>
                      <w:lang w:val="en-US" w:eastAsia="zh-CN"/>
                    </w:rPr>
                    <w:t>杜绝火灾事故</w:t>
                  </w:r>
                </w:p>
              </w:tc>
              <w:tc>
                <w:tcPr>
                  <w:tcW w:w="1387" w:type="dxa"/>
                </w:tcPr>
                <w:p>
                  <w:pPr>
                    <w:widowControl/>
                    <w:spacing w:before="40"/>
                    <w:jc w:val="left"/>
                    <w:rPr>
                      <w:color w:val="000000"/>
                      <w:szCs w:val="18"/>
                      <w:highlight w:val="cyan"/>
                    </w:rPr>
                  </w:pPr>
                  <w:r>
                    <w:rPr>
                      <w:rFonts w:hint="eastAsia"/>
                      <w:color w:val="000000"/>
                      <w:szCs w:val="18"/>
                      <w:highlight w:val="none"/>
                      <w:lang w:val="en-US" w:eastAsia="zh-CN"/>
                    </w:rPr>
                    <w:t>一年</w:t>
                  </w:r>
                </w:p>
              </w:tc>
              <w:tc>
                <w:tcPr>
                  <w:tcW w:w="3499" w:type="dxa"/>
                  <w:vAlign w:val="center"/>
                </w:tcPr>
                <w:p>
                  <w:pPr>
                    <w:jc w:val="left"/>
                    <w:rPr>
                      <w:rFonts w:hint="eastAsia" w:ascii="宋体" w:hAnsi="宋体" w:eastAsia="宋体" w:cs="宋体"/>
                      <w:color w:val="000000"/>
                      <w:kern w:val="0"/>
                      <w:sz w:val="21"/>
                      <w:szCs w:val="21"/>
                      <w:lang w:val="en-US" w:eastAsia="zh-CN" w:bidi="ar"/>
                    </w:rPr>
                  </w:pPr>
                  <w:r>
                    <w:rPr>
                      <w:rFonts w:hint="eastAsia" w:ascii="宋体" w:hAnsi="宋体"/>
                      <w:color w:val="auto"/>
                      <w:sz w:val="20"/>
                      <w:lang w:eastAsia="zh-CN"/>
                    </w:rPr>
                    <w:t>火灾发生率为</w:t>
                  </w:r>
                  <w:r>
                    <w:rPr>
                      <w:rFonts w:hint="eastAsia" w:ascii="宋体" w:hAnsi="宋体"/>
                      <w:color w:val="auto"/>
                      <w:sz w:val="20"/>
                      <w:lang w:val="en-US" w:eastAsia="zh-CN"/>
                    </w:rPr>
                    <w:t>0</w:t>
                  </w:r>
                </w:p>
              </w:tc>
              <w:tc>
                <w:tcPr>
                  <w:tcW w:w="2444" w:type="dxa"/>
                  <w:vAlign w:val="center"/>
                </w:tcPr>
                <w:p>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45000</w:t>
            </w:r>
            <w:r>
              <w:rPr>
                <w:rFonts w:hint="eastAsia"/>
              </w:rPr>
              <w:t>平方米；生产车间</w:t>
            </w:r>
            <w:r>
              <w:rPr>
                <w:rFonts w:hint="eastAsia"/>
                <w:lang w:val="en-US" w:eastAsia="zh-CN"/>
              </w:rPr>
              <w:t>7</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u w:val="single"/>
              </w:rPr>
            </w:pPr>
            <w:r>
              <w:rPr>
                <w:rFonts w:hint="eastAsia"/>
              </w:rPr>
              <w:t>主要生产设备有：</w:t>
            </w:r>
            <w:r>
              <w:rPr>
                <w:rFonts w:hint="eastAsia"/>
                <w:u w:val="single"/>
              </w:rPr>
              <w:t>龙门刨床</w:t>
            </w:r>
            <w:r>
              <w:rPr>
                <w:rFonts w:hint="eastAsia"/>
                <w:u w:val="single"/>
                <w:lang w:eastAsia="zh-CN"/>
              </w:rPr>
              <w:t>、</w:t>
            </w:r>
            <w:r>
              <w:rPr>
                <w:rFonts w:hint="eastAsia"/>
                <w:u w:val="single"/>
              </w:rPr>
              <w:t>卧式镗床</w:t>
            </w:r>
            <w:r>
              <w:rPr>
                <w:rFonts w:hint="eastAsia"/>
                <w:u w:val="single"/>
                <w:lang w:eastAsia="zh-CN"/>
              </w:rPr>
              <w:t>、</w:t>
            </w:r>
            <w:r>
              <w:rPr>
                <w:rFonts w:hint="eastAsia"/>
                <w:u w:val="single"/>
              </w:rPr>
              <w:t>桥式吊车</w:t>
            </w:r>
            <w:r>
              <w:rPr>
                <w:rFonts w:hint="eastAsia"/>
                <w:u w:val="single"/>
                <w:lang w:eastAsia="zh-CN"/>
              </w:rPr>
              <w:t>、</w:t>
            </w:r>
            <w:r>
              <w:rPr>
                <w:rFonts w:hint="eastAsia"/>
                <w:u w:val="single"/>
              </w:rPr>
              <w:t>叉车</w:t>
            </w:r>
            <w:r>
              <w:rPr>
                <w:rFonts w:hint="eastAsia"/>
                <w:u w:val="single"/>
                <w:lang w:eastAsia="zh-CN"/>
              </w:rPr>
              <w:t>、</w:t>
            </w:r>
            <w:r>
              <w:rPr>
                <w:rFonts w:hint="eastAsia"/>
                <w:u w:val="single"/>
              </w:rPr>
              <w:t>等离子切割机</w:t>
            </w:r>
            <w:r>
              <w:rPr>
                <w:rFonts w:hint="eastAsia"/>
                <w:u w:val="single"/>
                <w:lang w:eastAsia="zh-CN"/>
              </w:rPr>
              <w:t>、</w:t>
            </w:r>
            <w:r>
              <w:rPr>
                <w:rFonts w:hint="eastAsia"/>
                <w:u w:val="single"/>
              </w:rPr>
              <w:t>全自动管板焊接机</w:t>
            </w:r>
          </w:p>
          <w:p>
            <w:pPr>
              <w:shd w:val="clear" w:color="auto" w:fill="EBF1DE" w:themeFill="accent3" w:themeFillTint="32"/>
              <w:rPr>
                <w:u w:val="single"/>
              </w:rPr>
            </w:pPr>
            <w:r>
              <w:rPr>
                <w:rFonts w:hint="eastAsia"/>
                <w:u w:val="single"/>
              </w:rPr>
              <w:t>成套埋弧自动焊机</w:t>
            </w:r>
            <w:r>
              <w:rPr>
                <w:rFonts w:hint="eastAsia"/>
                <w:u w:val="single"/>
                <w:lang w:eastAsia="zh-CN"/>
              </w:rPr>
              <w:t>、</w:t>
            </w:r>
            <w:r>
              <w:rPr>
                <w:rFonts w:hint="eastAsia"/>
                <w:u w:val="single"/>
              </w:rPr>
              <w:t>焊条干燥机</w:t>
            </w:r>
            <w:r>
              <w:rPr>
                <w:rFonts w:hint="eastAsia"/>
                <w:u w:val="single"/>
                <w:lang w:eastAsia="zh-CN"/>
              </w:rPr>
              <w:t>、</w:t>
            </w:r>
            <w:r>
              <w:rPr>
                <w:rFonts w:hint="eastAsia"/>
                <w:u w:val="single"/>
              </w:rPr>
              <w:t>卷板机</w:t>
            </w:r>
            <w:r>
              <w:rPr>
                <w:rFonts w:hint="eastAsia"/>
                <w:u w:val="single"/>
                <w:lang w:eastAsia="zh-CN"/>
              </w:rPr>
              <w:t>、</w:t>
            </w:r>
            <w:r>
              <w:rPr>
                <w:rFonts w:hint="eastAsia"/>
                <w:u w:val="single"/>
              </w:rPr>
              <w:t>弯管机</w:t>
            </w:r>
            <w:r>
              <w:rPr>
                <w:rFonts w:hint="eastAsia"/>
                <w:u w:val="single"/>
                <w:lang w:eastAsia="zh-CN"/>
              </w:rPr>
              <w:t>、</w:t>
            </w:r>
            <w:r>
              <w:rPr>
                <w:rFonts w:hint="eastAsia"/>
                <w:u w:val="single"/>
              </w:rPr>
              <w:t>四柱液压机</w:t>
            </w:r>
          </w:p>
          <w:p>
            <w:pPr>
              <w:shd w:val="clear" w:color="auto" w:fill="EBF1DE" w:themeFill="accent3" w:themeFillTint="32"/>
              <w:rPr>
                <w:u w:val="single"/>
              </w:rPr>
            </w:pPr>
            <w:r>
              <w:rPr>
                <w:rFonts w:hint="eastAsia"/>
              </w:rPr>
              <w:t>主要环保设备有：</w:t>
            </w:r>
            <w:r>
              <w:rPr>
                <w:rFonts w:hint="eastAsia"/>
                <w:u w:val="single"/>
              </w:rPr>
              <w:t>焊烟净化器</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sym w:font="Wingdings 2" w:char="00A3"/>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lang w:eastAsia="zh-CN"/>
              </w:rPr>
              <w:sym w:font="Wingdings 2" w:char="00A3"/>
            </w:r>
            <w:r>
              <w:rPr>
                <w:rFonts w:hint="eastAsia"/>
              </w:rPr>
              <w:t>Rohs</w:t>
            </w:r>
            <w:r>
              <w:rPr>
                <w:rFonts w:hint="eastAsia" w:ascii="Wingdings" w:hAnsi="Wingdings"/>
                <w:lang w:eastAsia="zh-CN"/>
              </w:rPr>
              <w:sym w:font="Wingdings 2" w:char="00A3"/>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u w:val="single"/>
                <w:lang w:val="en-US" w:eastAsia="zh-CN"/>
              </w:rPr>
              <w:t>A2</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重要环境因素</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控制措施</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能源消耗</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电消耗控制符合要求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资源消耗</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资源降耗控制符合要求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废水排放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hint="eastAsia"/>
                      <w:lang w:val="en-US" w:eastAsia="zh-CN"/>
                    </w:rPr>
                  </w:pPr>
                  <w:r>
                    <w:rPr>
                      <w:rFonts w:hint="eastAsia"/>
                      <w:lang w:val="en-US" w:eastAsia="zh-CN"/>
                    </w:rPr>
                    <w:t>冲洗废水循环利用</w:t>
                  </w:r>
                </w:p>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生活污水达标排放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废气排放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废气监测符合要求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噪声排放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通过运行控制/目标、管理方案控制</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噪声监测符合规定要求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集中回收，利用</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已集中回收，利用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ascii="Times New Roman" w:hAnsi="Times New Roman" w:cs="Times New Roman"/>
                    </w:rPr>
                    <w:t>运行控制；应急准备与响应</w:t>
                  </w:r>
                </w:p>
              </w:tc>
              <w:tc>
                <w:tcPr>
                  <w:tcW w:w="3265" w:type="dxa"/>
                  <w:vAlign w:val="top"/>
                </w:tcPr>
                <w:p>
                  <w:pPr>
                    <w:shd w:val="clear" w:color="auto" w:fill="EBF1DE"/>
                    <w:jc w:val="left"/>
                    <w:rPr>
                      <w:rFonts w:ascii="Times New Roman" w:hAnsi="Times New Roman" w:eastAsia="宋体" w:cs="Times New Roman"/>
                      <w:kern w:val="2"/>
                      <w:sz w:val="21"/>
                      <w:szCs w:val="24"/>
                      <w:lang w:val="en-US" w:eastAsia="zh-CN" w:bidi="ar-SA"/>
                    </w:rPr>
                  </w:pPr>
                  <w:r>
                    <w:rPr>
                      <w:rFonts w:hint="eastAsia"/>
                      <w:lang w:val="en-US" w:eastAsia="zh-CN"/>
                    </w:rPr>
                    <w:t>进行了应急演练，演练评价有效；未发生火灾事故。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其他</w:t>
                  </w:r>
                </w:p>
              </w:tc>
              <w:tc>
                <w:tcPr>
                  <w:tcW w:w="0" w:type="auto"/>
                  <w:vAlign w:val="top"/>
                </w:tcPr>
                <w:p>
                  <w:pPr>
                    <w:shd w:val="clear" w:color="auto" w:fill="EBF1DE"/>
                    <w:jc w:val="left"/>
                    <w:rPr>
                      <w:rFonts w:ascii="Times New Roman" w:hAnsi="Times New Roman" w:eastAsia="宋体" w:cs="Times New Roman"/>
                      <w:kern w:val="2"/>
                      <w:sz w:val="21"/>
                      <w:szCs w:val="24"/>
                      <w:lang w:val="en-US" w:eastAsia="zh-CN" w:bidi="ar-SA"/>
                    </w:rPr>
                  </w:pPr>
                </w:p>
              </w:tc>
              <w:tc>
                <w:tcPr>
                  <w:tcW w:w="0" w:type="auto"/>
                  <w:vAlign w:val="top"/>
                </w:tcPr>
                <w:p>
                  <w:pPr>
                    <w:shd w:val="clear" w:color="auto" w:fill="EBF1DE"/>
                    <w:jc w:val="left"/>
                    <w:rPr>
                      <w:rFonts w:ascii="Times New Roman" w:hAnsi="Times New Roman" w:eastAsia="宋体" w:cs="Times New Roman"/>
                      <w:kern w:val="2"/>
                      <w:sz w:val="21"/>
                      <w:szCs w:val="24"/>
                      <w:lang w:val="en-US" w:eastAsia="zh-CN" w:bidi="ar-SA"/>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u w:val="single"/>
              </w:rPr>
              <w:t xml:space="preserve"> 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sym w:font="Wingdings 2" w:char="0052"/>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color w:val="000000"/>
                <w:lang w:val="en-US" w:eastAsia="zh-CN"/>
              </w:rPr>
              <w:t>2022.6.11</w:t>
            </w:r>
            <w:r>
              <w:rPr>
                <w:rFonts w:hint="eastAsia"/>
              </w:rPr>
              <w:t>火灾应急预案演练；并总结了预案的可行性和有效性。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《环境监测报告》编号：报告编号:( 2021 )环检（气）字第（CKO912-2)号；报告编号:( 2021 )环检（声）字第(CK0912 )号；报告编号:（ 2021 )环检（气）字第（CK0912-1 )号；报告编号:（ 2021 )环检（水)字第（CKO912 )号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rPr>
              <w:t>2021 年 12 月 6-7 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rPr>
              <w:t>2021年12月13日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3"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Yr3dcAAAAJAQAADwAAAAAAAAABACAAAAAiAAAAZHJzL2Rvd25yZXYu&#10;eG1sUEsBAhQAFAAAAAgAh07iQByW1grDAQAAdwMAAA4AAAAAAAAAAQAgAAAAJgEAAGRycy9lMm9E&#10;b2MueG1sUEsFBgAAAAAGAAYAWQEAAFsFA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16015F82"/>
    <w:rsid w:val="240E3FD3"/>
    <w:rsid w:val="2AC03B12"/>
    <w:rsid w:val="53587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widowControl/>
      <w:ind w:firstLine="420"/>
      <w:jc w:val="left"/>
    </w:pPr>
    <w:rPr>
      <w:rFonts w:ascii="宋体" w:hAnsi="宋体"/>
      <w:kern w:val="0"/>
      <w:sz w:val="20"/>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2022-06-22T22:07:54Z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E32FE3FC3ABF4DB583E49E2DA950E800</vt:lpwstr>
  </property>
  <property fmtid="{D5CDD505-2E9C-101B-9397-08002B2CF9AE}" pid="3" name="KSOProductBuildVer">
    <vt:lpwstr>2052-11.1.0.11744</vt:lpwstr>
  </property>
</Properties>
</file>