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 xml:space="preserve">EMS  </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r>
              <w:rPr>
                <w:rFonts w:hint="eastAsia"/>
                <w:b/>
                <w:sz w:val="20"/>
              </w:rPr>
              <w:t>无锡明燕装备有限公司</w:t>
            </w:r>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b/>
                <w:sz w:val="20"/>
              </w:rPr>
            </w:pPr>
            <w:r>
              <w:rPr>
                <w:rFonts w:hint="eastAsia"/>
                <w:b/>
                <w:sz w:val="20"/>
                <w:lang w:val="en-US" w:eastAsia="zh-CN"/>
              </w:rPr>
              <w:t>E:</w:t>
            </w:r>
            <w:r>
              <w:rPr>
                <w:rFonts w:hint="eastAsia"/>
                <w:b/>
                <w:sz w:val="20"/>
              </w:rPr>
              <w:t>17.07.02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default"/>
                <w:b/>
                <w:sz w:val="20"/>
                <w:lang w:val="en-US" w:eastAsia="zh-CN"/>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-41910</wp:posOffset>
                  </wp:positionH>
                  <wp:positionV relativeFrom="paragraph">
                    <wp:posOffset>64135</wp:posOffset>
                  </wp:positionV>
                  <wp:extent cx="585470" cy="443230"/>
                  <wp:effectExtent l="0" t="0" r="11430" b="0"/>
                  <wp:wrapNone/>
                  <wp:docPr id="4" name="图片 4" descr="db47bfe6495e4b3b808405d50cadf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b47bfe6495e4b3b808405d50cadfbd"/>
                          <pic:cNvPicPr>
                            <a:picLocks noChangeAspect="1"/>
                          </pic:cNvPicPr>
                        </pic:nvPicPr>
                        <pic:blipFill>
                          <a:blip r:embed="rId5">
                            <a:clrChange>
                              <a:clrFrom>
                                <a:srgbClr val="FFFFFF">
                                  <a:alpha val="100000"/>
                                </a:srgbClr>
                              </a:clrFrom>
                              <a:clrTo>
                                <a:srgbClr val="FFFFFF">
                                  <a:alpha val="100000"/>
                                  <a:alpha val="0"/>
                                </a:srgbClr>
                              </a:clrTo>
                            </a:clrChange>
                            <a:lum contrast="6000"/>
                          </a:blip>
                          <a:stretch>
                            <a:fillRect/>
                          </a:stretch>
                        </pic:blipFill>
                        <pic:spPr>
                          <a:xfrm>
                            <a:off x="0" y="0"/>
                            <a:ext cx="585470" cy="44323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882650</wp:posOffset>
                  </wp:positionH>
                  <wp:positionV relativeFrom="paragraph">
                    <wp:posOffset>-223520</wp:posOffset>
                  </wp:positionV>
                  <wp:extent cx="391160" cy="1068705"/>
                  <wp:effectExtent l="0" t="0" r="0" b="0"/>
                  <wp:wrapNone/>
                  <wp:docPr id="3" name="图片 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56487" r="25479" b="76657"/>
                          <a:stretch>
                            <a:fillRect/>
                          </a:stretch>
                        </pic:blipFill>
                        <pic:spPr>
                          <a:xfrm rot="-5400000">
                            <a:off x="0" y="0"/>
                            <a:ext cx="391160" cy="1068705"/>
                          </a:xfrm>
                          <a:prstGeom prst="rect">
                            <a:avLst/>
                          </a:prstGeom>
                          <a:noFill/>
                          <a:ln>
                            <a:noFill/>
                          </a:ln>
                        </pic:spPr>
                      </pic:pic>
                    </a:graphicData>
                  </a:graphic>
                </wp:anchor>
              </w:drawing>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hint="eastAsia"/>
                <w:b/>
                <w:sz w:val="20"/>
                <w:lang w:val="en-US" w:eastAsia="zh-CN"/>
              </w:rPr>
              <w:t>E:</w:t>
            </w:r>
            <w:r>
              <w:rPr>
                <w:rFonts w:hint="eastAsia"/>
                <w:b/>
                <w:sz w:val="20"/>
              </w:rPr>
              <w:t>17.07.02</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网络会议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default" w:eastAsia="宋体"/>
                <w:b/>
                <w:sz w:val="20"/>
                <w:lang w:val="en-US" w:eastAsia="zh-CN"/>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40640</wp:posOffset>
                  </wp:positionH>
                  <wp:positionV relativeFrom="paragraph">
                    <wp:posOffset>5080</wp:posOffset>
                  </wp:positionV>
                  <wp:extent cx="1012190" cy="447040"/>
                  <wp:effectExtent l="0" t="0" r="3810" b="10160"/>
                  <wp:wrapNone/>
                  <wp:docPr id="5" name="图片 4" descr="fb728f239a643d2db7081a41efaf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fb728f239a643d2db7081a41efaf9e5"/>
                          <pic:cNvPicPr>
                            <a:picLocks noChangeAspect="1"/>
                          </pic:cNvPicPr>
                        </pic:nvPicPr>
                        <pic:blipFill>
                          <a:blip r:embed="rId7"/>
                          <a:stretch>
                            <a:fillRect/>
                          </a:stretch>
                        </pic:blipFill>
                        <pic:spPr>
                          <a:xfrm>
                            <a:off x="0" y="0"/>
                            <a:ext cx="1012190" cy="447040"/>
                          </a:xfrm>
                          <a:prstGeom prst="rect">
                            <a:avLst/>
                          </a:prstGeom>
                          <a:noFill/>
                          <a:ln>
                            <a:noFill/>
                          </a:ln>
                        </pic:spPr>
                      </pic:pic>
                    </a:graphicData>
                  </a:graphic>
                </wp:anchor>
              </w:drawing>
            </w:r>
          </w:p>
        </w:tc>
        <w:tc>
          <w:tcPr>
            <w:tcW w:w="1414" w:type="dxa"/>
            <w:vAlign w:val="center"/>
          </w:tcPr>
          <w:p>
            <w:pPr>
              <w:snapToGrid w:val="0"/>
              <w:spacing w:line="360" w:lineRule="exact"/>
              <w:jc w:val="center"/>
              <w:rPr>
                <w:b/>
                <w:sz w:val="20"/>
              </w:rPr>
            </w:pP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280" w:lineRule="exact"/>
              <w:rPr>
                <w:rFonts w:hint="default" w:eastAsia="宋体"/>
                <w:b/>
                <w:sz w:val="20"/>
                <w:lang w:val="en-US" w:eastAsia="zh-CN"/>
              </w:rPr>
            </w:pPr>
            <w:r>
              <w:rPr>
                <w:rFonts w:hint="eastAsia"/>
                <w:b/>
                <w:sz w:val="20"/>
                <w:lang w:val="en-US" w:eastAsia="zh-CN"/>
              </w:rPr>
              <w:t>下料——成型——焊接——组装——试压——酸洗——喷漆——成品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7"/>
            <w:vAlign w:val="center"/>
          </w:tcPr>
          <w:p>
            <w:pPr>
              <w:snapToGrid w:val="0"/>
              <w:spacing w:line="280" w:lineRule="exact"/>
              <w:jc w:val="both"/>
              <w:rPr>
                <w:rFonts w:hint="eastAsia"/>
                <w:b/>
                <w:sz w:val="20"/>
              </w:rPr>
            </w:pPr>
            <w:r>
              <w:rPr>
                <w:rFonts w:hint="eastAsia"/>
                <w:b/>
                <w:sz w:val="20"/>
              </w:rPr>
              <w:t>提供有《重要环境因素清单》，已识别重要环境因素包括：废气排放</w:t>
            </w:r>
            <w:r>
              <w:rPr>
                <w:rFonts w:hint="eastAsia"/>
                <w:b/>
                <w:sz w:val="20"/>
                <w:lang w:eastAsia="zh-CN"/>
              </w:rPr>
              <w:t>、</w:t>
            </w:r>
            <w:r>
              <w:rPr>
                <w:rFonts w:hint="eastAsia"/>
                <w:b/>
                <w:sz w:val="20"/>
              </w:rPr>
              <w:t>废水排放</w:t>
            </w:r>
            <w:r>
              <w:rPr>
                <w:rFonts w:hint="eastAsia"/>
                <w:b/>
                <w:sz w:val="20"/>
                <w:lang w:eastAsia="zh-CN"/>
              </w:rPr>
              <w:t>、</w:t>
            </w:r>
            <w:r>
              <w:rPr>
                <w:rFonts w:hint="eastAsia"/>
                <w:b/>
                <w:sz w:val="20"/>
              </w:rPr>
              <w:t>噪声排放</w:t>
            </w:r>
            <w:r>
              <w:rPr>
                <w:rFonts w:hint="eastAsia"/>
                <w:b/>
                <w:sz w:val="20"/>
                <w:lang w:eastAsia="zh-CN"/>
              </w:rPr>
              <w:t>、</w:t>
            </w:r>
            <w:r>
              <w:rPr>
                <w:rFonts w:hint="eastAsia"/>
                <w:b/>
                <w:sz w:val="20"/>
              </w:rPr>
              <w:t>固体废弃物排放</w:t>
            </w:r>
            <w:r>
              <w:rPr>
                <w:rFonts w:hint="eastAsia"/>
                <w:b/>
                <w:sz w:val="20"/>
                <w:lang w:eastAsia="zh-CN"/>
              </w:rPr>
              <w:t>、</w:t>
            </w:r>
            <w:r>
              <w:rPr>
                <w:rFonts w:hint="eastAsia"/>
                <w:b/>
                <w:sz w:val="20"/>
                <w:lang w:val="en-US" w:eastAsia="zh-CN"/>
              </w:rPr>
              <w:t>潜在</w:t>
            </w:r>
            <w:r>
              <w:rPr>
                <w:rFonts w:hint="eastAsia"/>
                <w:b/>
                <w:sz w:val="20"/>
              </w:rPr>
              <w:t>火灾。</w:t>
            </w:r>
          </w:p>
          <w:p>
            <w:pPr>
              <w:snapToGrid w:val="0"/>
              <w:spacing w:line="280" w:lineRule="exact"/>
              <w:jc w:val="both"/>
              <w:rPr>
                <w:rFonts w:hint="default"/>
                <w:b w:val="0"/>
                <w:bCs/>
                <w:sz w:val="20"/>
                <w:lang w:val="en-US" w:eastAsia="zh-CN"/>
              </w:rPr>
            </w:pPr>
            <w:r>
              <w:rPr>
                <w:rFonts w:hint="eastAsia"/>
                <w:b/>
                <w:sz w:val="20"/>
              </w:rPr>
              <w:t>废气排放</w:t>
            </w:r>
            <w:r>
              <w:rPr>
                <w:rFonts w:hint="eastAsia"/>
                <w:b/>
                <w:sz w:val="20"/>
                <w:lang w:eastAsia="zh-CN"/>
              </w:rPr>
              <w:t>：</w:t>
            </w:r>
            <w:r>
              <w:rPr>
                <w:rFonts w:hint="eastAsia"/>
                <w:b w:val="0"/>
                <w:bCs/>
                <w:sz w:val="20"/>
                <w:lang w:eastAsia="zh-CN"/>
              </w:rPr>
              <w:t>喷漆废气经收集后由活性炭装置处理，最终由15米高排气筒FQ01排放；酸洗废气经集气罩收集后由碱喷淋装置处理，通过15米高排气筒FQ02排放；焊接烟尘废气</w:t>
            </w:r>
            <w:r>
              <w:rPr>
                <w:rFonts w:hint="eastAsia"/>
                <w:b w:val="0"/>
                <w:bCs/>
                <w:sz w:val="20"/>
                <w:lang w:val="en-US" w:eastAsia="zh-CN"/>
              </w:rPr>
              <w:t>经焊接烟雾收集器收集后</w:t>
            </w:r>
            <w:r>
              <w:rPr>
                <w:rFonts w:hint="eastAsia"/>
                <w:b w:val="0"/>
                <w:bCs/>
                <w:sz w:val="20"/>
                <w:lang w:eastAsia="zh-CN"/>
              </w:rPr>
              <w:t>被风机负压吸入净化机内部，大颗粒飘尘被均流板和初滤网过滤而沉积下来；进入净化装置的微小级烟雾和废气通过废气装置内部被过滤和分解后排出达标气体。</w:t>
            </w:r>
          </w:p>
          <w:p>
            <w:pPr>
              <w:snapToGrid w:val="0"/>
              <w:spacing w:line="280" w:lineRule="exact"/>
              <w:jc w:val="both"/>
              <w:rPr>
                <w:rFonts w:hint="eastAsia"/>
                <w:b w:val="0"/>
                <w:bCs/>
                <w:sz w:val="20"/>
                <w:lang w:eastAsia="zh-CN"/>
              </w:rPr>
            </w:pPr>
            <w:r>
              <w:rPr>
                <w:rFonts w:hint="eastAsia"/>
                <w:b/>
                <w:sz w:val="20"/>
                <w:lang w:eastAsia="zh-CN"/>
              </w:rPr>
              <w:t>废水排放：</w:t>
            </w:r>
            <w:r>
              <w:rPr>
                <w:rFonts w:hint="eastAsia"/>
                <w:b w:val="0"/>
                <w:bCs/>
                <w:sz w:val="20"/>
                <w:lang w:eastAsia="zh-CN"/>
              </w:rPr>
              <w:t>雨污分流，生活污水经化粪池处理后接管市政污水管网，由太湖新城污水处理厂处理。</w:t>
            </w:r>
          </w:p>
          <w:p>
            <w:pPr>
              <w:snapToGrid w:val="0"/>
              <w:spacing w:line="280" w:lineRule="exact"/>
              <w:jc w:val="both"/>
              <w:rPr>
                <w:rFonts w:hint="eastAsia"/>
                <w:b w:val="0"/>
                <w:bCs/>
                <w:sz w:val="20"/>
                <w:lang w:eastAsia="zh-CN"/>
              </w:rPr>
            </w:pPr>
            <w:r>
              <w:rPr>
                <w:rFonts w:hint="eastAsia"/>
                <w:b/>
                <w:sz w:val="20"/>
                <w:lang w:eastAsia="zh-CN"/>
              </w:rPr>
              <w:t>噪声排放：</w:t>
            </w:r>
            <w:r>
              <w:rPr>
                <w:rFonts w:hint="eastAsia"/>
                <w:b w:val="0"/>
                <w:bCs/>
                <w:sz w:val="20"/>
                <w:lang w:eastAsia="zh-CN"/>
              </w:rPr>
              <w:t>合理布置厂区总平面布局，并釆取车间、厂房墙壁隔音、距离衰减等综合治理措施；</w:t>
            </w:r>
            <w:r>
              <w:rPr>
                <w:rFonts w:hint="eastAsia"/>
                <w:b w:val="0"/>
                <w:bCs/>
                <w:sz w:val="20"/>
                <w:lang w:val="en-US" w:eastAsia="zh-CN"/>
              </w:rPr>
              <w:t>对</w:t>
            </w:r>
            <w:r>
              <w:rPr>
                <w:rFonts w:hint="eastAsia"/>
                <w:b w:val="0"/>
                <w:bCs/>
                <w:sz w:val="20"/>
                <w:lang w:eastAsia="zh-CN"/>
              </w:rPr>
              <w:t>设备定期维护。</w:t>
            </w:r>
          </w:p>
          <w:p>
            <w:pPr>
              <w:snapToGrid w:val="0"/>
              <w:spacing w:line="280" w:lineRule="exact"/>
              <w:jc w:val="both"/>
              <w:rPr>
                <w:rFonts w:hint="eastAsia"/>
                <w:b/>
                <w:sz w:val="20"/>
                <w:lang w:val="en-US" w:eastAsia="zh-CN"/>
              </w:rPr>
            </w:pPr>
            <w:r>
              <w:rPr>
                <w:rFonts w:hint="eastAsia"/>
                <w:b/>
                <w:sz w:val="20"/>
                <w:lang w:val="en-US" w:eastAsia="zh-CN"/>
              </w:rPr>
              <w:t>定期进行废气、废水、噪声监测。</w:t>
            </w:r>
          </w:p>
          <w:p>
            <w:pPr>
              <w:snapToGrid w:val="0"/>
              <w:spacing w:line="280" w:lineRule="exact"/>
              <w:jc w:val="both"/>
              <w:rPr>
                <w:rFonts w:hint="eastAsia"/>
                <w:b w:val="0"/>
                <w:bCs/>
                <w:sz w:val="20"/>
                <w:lang w:eastAsia="zh-CN"/>
              </w:rPr>
            </w:pPr>
            <w:r>
              <w:rPr>
                <w:rFonts w:hint="eastAsia"/>
                <w:b/>
                <w:sz w:val="20"/>
              </w:rPr>
              <w:t>固体废弃物：</w:t>
            </w:r>
            <w:r>
              <w:rPr>
                <w:rFonts w:hint="eastAsia"/>
                <w:b/>
                <w:sz w:val="20"/>
                <w:lang w:val="en-US" w:eastAsia="zh-CN"/>
              </w:rPr>
              <w:t>危废：</w:t>
            </w:r>
            <w:r>
              <w:rPr>
                <w:rFonts w:hint="eastAsia"/>
                <w:b w:val="0"/>
                <w:bCs/>
                <w:sz w:val="20"/>
                <w:lang w:val="en-US" w:eastAsia="zh-CN"/>
              </w:rPr>
              <w:t>主要有废油漆桶、漆渣、废活性炭、废皂化液、酸洗废液 （含喷淋塔废液）。设置危废暂存间，暂存后送有资质单位处理；同时建立危险废物管理制度，设置储存台账，如实记录危险废物储存及处理情况。</w:t>
            </w:r>
            <w:r>
              <w:rPr>
                <w:rFonts w:hint="eastAsia"/>
                <w:b/>
                <w:sz w:val="20"/>
                <w:lang w:val="en-US" w:eastAsia="zh-CN"/>
              </w:rPr>
              <w:t>一般固废：</w:t>
            </w:r>
            <w:r>
              <w:rPr>
                <w:rFonts w:hint="eastAsia"/>
                <w:b w:val="0"/>
                <w:bCs/>
                <w:sz w:val="20"/>
              </w:rPr>
              <w:t>金属废料、生活垃圾分类收集，集中处理</w:t>
            </w:r>
            <w:r>
              <w:rPr>
                <w:rFonts w:hint="eastAsia"/>
                <w:b w:val="0"/>
                <w:bCs/>
                <w:sz w:val="20"/>
                <w:lang w:eastAsia="zh-CN"/>
              </w:rPr>
              <w:t>。</w:t>
            </w:r>
          </w:p>
          <w:p>
            <w:pPr>
              <w:snapToGrid w:val="0"/>
              <w:spacing w:line="280" w:lineRule="exact"/>
              <w:jc w:val="both"/>
              <w:rPr>
                <w:rFonts w:hint="eastAsia"/>
                <w:b/>
                <w:sz w:val="20"/>
              </w:rPr>
            </w:pPr>
            <w:r>
              <w:rPr>
                <w:rFonts w:hint="eastAsia"/>
                <w:b/>
                <w:sz w:val="20"/>
                <w:lang w:val="en-US" w:eastAsia="zh-CN"/>
              </w:rPr>
              <w:t>潜在</w:t>
            </w:r>
            <w:r>
              <w:rPr>
                <w:rFonts w:hint="eastAsia"/>
                <w:b/>
                <w:sz w:val="20"/>
              </w:rPr>
              <w:t>火灾：</w:t>
            </w:r>
            <w:r>
              <w:rPr>
                <w:rFonts w:hint="eastAsia"/>
                <w:b w:val="0"/>
                <w:bCs/>
                <w:sz w:val="20"/>
              </w:rPr>
              <w:t>消防管控、日常检查</w:t>
            </w:r>
            <w:r>
              <w:rPr>
                <w:rFonts w:hint="eastAsia"/>
                <w:b w:val="0"/>
                <w:bCs/>
                <w:sz w:val="20"/>
                <w:lang w:eastAsia="zh-CN"/>
              </w:rPr>
              <w:t>、</w:t>
            </w:r>
            <w:r>
              <w:rPr>
                <w:rFonts w:hint="eastAsia"/>
                <w:b w:val="0"/>
                <w:bCs/>
                <w:sz w:val="20"/>
                <w:lang w:val="en-US" w:eastAsia="zh-CN"/>
              </w:rPr>
              <w:t>应急管控。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7"/>
            <w:vAlign w:val="center"/>
          </w:tcPr>
          <w:p>
            <w:pPr>
              <w:snapToGrid w:val="0"/>
              <w:spacing w:line="280" w:lineRule="exact"/>
              <w:jc w:val="center"/>
              <w:rPr>
                <w:b/>
                <w:sz w:val="20"/>
              </w:rPr>
            </w:pPr>
            <w:r>
              <w:rPr>
                <w:rFonts w:hint="eastAsia"/>
                <w:b/>
                <w:sz w:val="20"/>
              </w:rPr>
              <w:t>《环境保护法》、《水污染防治法》、《大气污染防治法》、《环境噪声污染防治法》、《环境影响评价法》、《清洁生产促进法》、《消防条例》、《污水综合排放标准》、《大气污染物排放标准》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7"/>
            <w:vAlign w:val="center"/>
          </w:tcPr>
          <w:p>
            <w:pPr>
              <w:snapToGrid w:val="0"/>
              <w:spacing w:line="280" w:lineRule="exact"/>
              <w:jc w:val="left"/>
              <w:rPr>
                <w:rFonts w:hint="default" w:eastAsia="宋体"/>
                <w:b/>
                <w:sz w:val="20"/>
                <w:lang w:val="en-US" w:eastAsia="zh-CN"/>
              </w:rPr>
            </w:pPr>
            <w:r>
              <w:rPr>
                <w:rFonts w:hint="eastAsia"/>
                <w:b/>
                <w:sz w:val="20"/>
                <w:lang w:val="en-US" w:eastAsia="zh-CN"/>
              </w:rPr>
              <w:t>提供有年度</w:t>
            </w:r>
            <w:bookmarkStart w:id="0" w:name="_GoBack"/>
            <w:bookmarkEnd w:id="0"/>
            <w:r>
              <w:rPr>
                <w:rFonts w:hint="eastAsia"/>
                <w:b/>
                <w:sz w:val="20"/>
                <w:lang w:val="en-US" w:eastAsia="zh-CN"/>
              </w:rPr>
              <w:t>监测报告，详见2021年《废气监测报告》、《废水监测报告》、《噪声监测报告》。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b/>
                <w:sz w:val="20"/>
              </w:rPr>
            </w:pPr>
            <w:r>
              <w:rPr>
                <w:rFonts w:hint="eastAsia"/>
                <w:b/>
                <w:sz w:val="20"/>
              </w:rPr>
              <w:t>现场审核技巧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center"/>
              <w:rPr>
                <w:b/>
                <w:sz w:val="20"/>
              </w:rPr>
            </w:pPr>
            <w:r>
              <w:rPr>
                <w:rFonts w:hint="eastAsia" w:ascii="宋体" w:hAnsi="宋体"/>
                <w:b/>
                <w:kern w:val="0"/>
                <w:sz w:val="24"/>
              </w:rPr>
              <w:drawing>
                <wp:anchor distT="0" distB="0" distL="114300" distR="114300" simplePos="0" relativeHeight="251665408" behindDoc="0" locked="0" layoutInCell="1" allowOverlap="1">
                  <wp:simplePos x="0" y="0"/>
                  <wp:positionH relativeFrom="column">
                    <wp:posOffset>533400</wp:posOffset>
                  </wp:positionH>
                  <wp:positionV relativeFrom="paragraph">
                    <wp:posOffset>-283210</wp:posOffset>
                  </wp:positionV>
                  <wp:extent cx="391160" cy="1258570"/>
                  <wp:effectExtent l="0" t="0" r="0" b="0"/>
                  <wp:wrapNone/>
                  <wp:docPr id="10" name="图片 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56487" r="25479" b="76657"/>
                          <a:stretch>
                            <a:fillRect/>
                          </a:stretch>
                        </pic:blipFill>
                        <pic:spPr>
                          <a:xfrm rot="-5400000">
                            <a:off x="0" y="0"/>
                            <a:ext cx="391160" cy="1258570"/>
                          </a:xfrm>
                          <a:prstGeom prst="rect">
                            <a:avLst/>
                          </a:prstGeom>
                          <a:noFill/>
                          <a:ln>
                            <a:noFill/>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ascii="宋体" w:hAnsi="宋体" w:eastAsia="宋体"/>
                <w:szCs w:val="21"/>
                <w:lang w:eastAsia="zh-CN"/>
              </w:rPr>
              <w:drawing>
                <wp:anchor distT="0" distB="0" distL="114300" distR="114300" simplePos="0" relativeHeight="251664384" behindDoc="0" locked="0" layoutInCell="1" allowOverlap="1">
                  <wp:simplePos x="0" y="0"/>
                  <wp:positionH relativeFrom="column">
                    <wp:posOffset>644525</wp:posOffset>
                  </wp:positionH>
                  <wp:positionV relativeFrom="paragraph">
                    <wp:posOffset>-318135</wp:posOffset>
                  </wp:positionV>
                  <wp:extent cx="426085" cy="1201420"/>
                  <wp:effectExtent l="0" t="0" r="11430" b="0"/>
                  <wp:wrapNone/>
                  <wp:docPr id="11" name="图片 3" descr="微信图片_2022061913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微信图片_20220619134045"/>
                          <pic:cNvPicPr>
                            <a:picLocks noChangeAspect="1"/>
                          </pic:cNvPicPr>
                        </pic:nvPicPr>
                        <pic:blipFill>
                          <a:blip r:embed="rId8">
                            <a:clrChange>
                              <a:clrFrom>
                                <a:srgbClr val="A6A299"/>
                              </a:clrFrom>
                              <a:clrTo>
                                <a:srgbClr val="A6A299">
                                  <a:alpha val="0"/>
                                </a:srgbClr>
                              </a:clrTo>
                            </a:clrChange>
                          </a:blip>
                          <a:srcRect l="66164" t="48296" r="24820" b="32658"/>
                          <a:stretch>
                            <a:fillRect/>
                          </a:stretch>
                        </pic:blipFill>
                        <pic:spPr>
                          <a:xfrm rot="-5040000">
                            <a:off x="0" y="0"/>
                            <a:ext cx="426085" cy="1201420"/>
                          </a:xfrm>
                          <a:prstGeom prst="rect">
                            <a:avLst/>
                          </a:prstGeom>
                          <a:noFill/>
                          <a:ln>
                            <a:noFill/>
                          </a:ln>
                        </pic:spPr>
                      </pic:pic>
                    </a:graphicData>
                  </a:graphic>
                </wp:anchor>
              </w:drawing>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center"/>
              <w:rPr>
                <w:b/>
                <w:sz w:val="20"/>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546100</wp:posOffset>
                  </wp:positionH>
                  <wp:positionV relativeFrom="paragraph">
                    <wp:posOffset>-222885</wp:posOffset>
                  </wp:positionV>
                  <wp:extent cx="391160" cy="1258570"/>
                  <wp:effectExtent l="0" t="0" r="0" b="0"/>
                  <wp:wrapNone/>
                  <wp:docPr id="9" name="图片 2"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G:\8 测量管理体系\1 个人\1 受审核企业\2022.6.13-14-Q-河北鼎润智能装备制造有限公司\签名和日期\微信图片_20220609194828.jpg微信图片_20220609194828"/>
                          <pic:cNvPicPr>
                            <a:picLocks noChangeAspect="1"/>
                          </pic:cNvPicPr>
                        </pic:nvPicPr>
                        <pic:blipFill>
                          <a:blip r:embed="rId6">
                            <a:clrChange>
                              <a:clrFrom>
                                <a:srgbClr val="ACADA8"/>
                              </a:clrFrom>
                              <a:clrTo>
                                <a:srgbClr val="ACADA8">
                                  <a:alpha val="0"/>
                                </a:srgbClr>
                              </a:clrTo>
                            </a:clrChange>
                            <a:lum bright="29999" contrast="48000"/>
                          </a:blip>
                          <a:srcRect l="56487" r="25479" b="76657"/>
                          <a:stretch>
                            <a:fillRect/>
                          </a:stretch>
                        </pic:blipFill>
                        <pic:spPr>
                          <a:xfrm rot="-5400000">
                            <a:off x="0" y="0"/>
                            <a:ext cx="391160" cy="1258570"/>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-257810</wp:posOffset>
                  </wp:positionV>
                  <wp:extent cx="426085" cy="1201420"/>
                  <wp:effectExtent l="0" t="0" r="11430" b="0"/>
                  <wp:wrapNone/>
                  <wp:docPr id="1" name="图片 3" descr="微信图片_2022061913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图片_20220619134045"/>
                          <pic:cNvPicPr>
                            <a:picLocks noChangeAspect="1"/>
                          </pic:cNvPicPr>
                        </pic:nvPicPr>
                        <pic:blipFill>
                          <a:blip r:embed="rId8">
                            <a:clrChange>
                              <a:clrFrom>
                                <a:srgbClr val="A6A299"/>
                              </a:clrFrom>
                              <a:clrTo>
                                <a:srgbClr val="A6A299">
                                  <a:alpha val="0"/>
                                </a:srgbClr>
                              </a:clrTo>
                            </a:clrChange>
                          </a:blip>
                          <a:srcRect l="66164" t="48296" r="24820" b="32658"/>
                          <a:stretch>
                            <a:fillRect/>
                          </a:stretch>
                        </pic:blipFill>
                        <pic:spPr>
                          <a:xfrm rot="-5040000">
                            <a:off x="0" y="0"/>
                            <a:ext cx="426085" cy="1201420"/>
                          </a:xfrm>
                          <a:prstGeom prst="rect">
                            <a:avLst/>
                          </a:prstGeom>
                          <a:noFill/>
                          <a:ln>
                            <a:noFill/>
                          </a:ln>
                        </pic:spPr>
                      </pic:pic>
                    </a:graphicData>
                  </a:graphic>
                </wp:anchor>
              </w:drawing>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10"/>
        <w:rFonts w:hint="default"/>
      </w:rPr>
    </w:pPr>
    <w:r>
      <w:rPr>
        <w:rStyle w:val="10"/>
        <w:rFonts w:hint="default"/>
      </w:rPr>
      <w:drawing>
        <wp:anchor distT="0" distB="0" distL="114300" distR="114300" simplePos="0" relativeHeight="251661312"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900" w:firstLineChars="500"/>
      <w:jc w:val="left"/>
    </w:pPr>
    <w:r>
      <w:pict>
        <v:shape id="_x0000_s4097" o:spid="_x0000_s4097" o:spt="202" type="#_x0000_t202" style="position:absolute;left:0pt;margin-left:379.65pt;margin-top:2.8pt;height:20.2pt;width:111.8pt;z-index:251660288;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jExNTRhZmMwYTZhMGE0NzY5YTQ4OGYyNzNkZGE0NDYifQ=="/>
  </w:docVars>
  <w:rsids>
    <w:rsidRoot w:val="00000000"/>
    <w:rsid w:val="1B9C68F5"/>
    <w:rsid w:val="65DB7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批注框文本 Char"/>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48</Words>
  <Characters>275</Characters>
  <Lines>2</Lines>
  <Paragraphs>1</Paragraphs>
  <TotalTime>1</TotalTime>
  <ScaleCrop>false</ScaleCrop>
  <LinksUpToDate>false</LinksUpToDate>
  <CharactersWithSpaces>322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春华秋实</cp:lastModifiedBy>
  <dcterms:modified xsi:type="dcterms:W3CDTF">2022-06-21T11:45:54Z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2052-11.1.0.11744</vt:lpwstr>
  </property>
</Properties>
</file>