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30"/>
        <w:gridCol w:w="1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经营部（采购、销售）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部门负责人：田士彬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张力飞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陈丽丹【远程】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【远程审核沟通方式：腾讯会议/微信/电话/语音】</w:t>
            </w:r>
          </w:p>
          <w:p>
            <w:pPr>
              <w:spacing w:before="1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审核日期： 202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23下午~2022-06-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tabs>
                <w:tab w:val="center" w:pos="4850"/>
              </w:tabs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审核条款：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F:5.3/6.2/7.1.6</w:t>
            </w:r>
            <w:r>
              <w:rPr>
                <w:rFonts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7.4.2/8.2/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8.5.4.5</w:t>
            </w:r>
            <w:r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/8.9.5</w:t>
            </w:r>
          </w:p>
          <w:p>
            <w:pPr>
              <w:pStyle w:val="9"/>
              <w:ind w:firstLine="630" w:firstLineChars="300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H:2.4.2/2.5.1/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2.5.2.3/</w:t>
            </w: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3.5/4.3.4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/3.9/5.2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F5.3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《管理手册》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5.5条款、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经营部岗位职责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负责供方的选择、评价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采购原材料、采购过程的管理、顾客投诉处理、销售市场的开拓、满意度调查、实施召回等。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食品安全目标及其实现的策划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F6.2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手册第6.2条款 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分解目标及完成情况统计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10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-202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05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1.原辅材料合格率100%。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合格数÷采购数×100%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经营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2.供方评价率100%；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eastAsia="宋体"/>
                      <w:color w:val="000000" w:themeColor="text1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评价数÷供方数×100%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经营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3.合同评审率100%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评审数÷合同数×100%</w:t>
                  </w:r>
                </w:p>
              </w:tc>
              <w:tc>
                <w:tcPr>
                  <w:tcW w:w="111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经营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4.顾客满意率≥9</w:t>
                  </w:r>
                  <w:r>
                    <w:rPr>
                      <w:rFonts w:hint="eastAsia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实际分数÷总分数×100%</w:t>
                  </w:r>
                </w:p>
              </w:tc>
              <w:tc>
                <w:tcPr>
                  <w:tcW w:w="111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经营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92.5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highlight w:val="none"/>
                <w:lang w:val="en-US" w:eastAsia="zh-CN"/>
              </w:rPr>
              <w:t>外部</w:t>
            </w:r>
            <w:r>
              <w:rPr>
                <w:rFonts w:hint="eastAsia"/>
                <w:highlight w:val="none"/>
              </w:rPr>
              <w:t>沟通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t>H(V1.0)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2.5.</w:t>
            </w: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管理手册第</w:t>
            </w:r>
            <w:r>
              <w:rPr>
                <w:rFonts w:hint="eastAsia"/>
                <w:highlight w:val="none"/>
                <w:lang w:val="en-US" w:eastAsia="zh-CN"/>
              </w:rPr>
              <w:t>7.4.2</w:t>
            </w:r>
            <w:r>
              <w:rPr>
                <w:rFonts w:hint="eastAsia"/>
                <w:lang w:val="en-US" w:eastAsia="zh-CN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《信息</w:t>
            </w:r>
            <w:r>
              <w:rPr>
                <w:rFonts w:hint="eastAsia"/>
                <w:lang w:val="en-US" w:eastAsia="zh-CN"/>
              </w:rPr>
              <w:t>交流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企业确保与外部沟通的信息充分，并可供食品链的相关方获得。</w:t>
            </w:r>
          </w:p>
          <w:p>
            <w:r>
              <w:rPr>
                <w:rFonts w:hint="eastAsia"/>
                <w:highlight w:val="none"/>
              </w:rPr>
              <w:t>外部沟通</w:t>
            </w:r>
            <w:r>
              <w:rPr>
                <w:rFonts w:hint="eastAsia"/>
              </w:rPr>
              <w:t>的控制：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2022.6.23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采购冻品的订单细节沟通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河北海犇商贸有限公司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经营部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承包方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2022.6.17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食堂环境卫生检查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河北联邦国际学校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现场巡查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餐管部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2022.6.24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菜品选择沟通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学校学生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现场点餐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餐管部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2022.6.20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餐饮业疫情防控日常检查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石家庄市桥西区市场监督管理局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现场巡查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无异常</w:t>
                  </w:r>
                </w:p>
              </w:tc>
            </w:tr>
          </w:tbl>
          <w:p>
            <w:r>
              <w:rPr>
                <w:rFonts w:hint="eastAsia"/>
              </w:rPr>
              <w:t>是否规定了外</w:t>
            </w:r>
            <w:r>
              <w:rPr>
                <w:rFonts w:hint="eastAsia"/>
                <w:lang w:val="en-US" w:eastAsia="zh-CN"/>
              </w:rPr>
              <w:t>部</w:t>
            </w:r>
            <w:r>
              <w:rPr>
                <w:rFonts w:hint="eastAsia"/>
              </w:rPr>
              <w:t>沟通食品安全有关信息人员的职责和权限；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外部沟通的人员是否接受了适当培训；培训时间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2021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  <w:lang w:val="en-US" w:eastAsia="zh-CN"/>
              </w:rPr>
              <w:t>10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rPr>
                <w:rFonts w:hint="eastAsia"/>
                <w:u w:val="single"/>
              </w:rPr>
              <w:t>日</w:t>
            </w:r>
          </w:p>
          <w:p>
            <w:r>
              <w:rPr>
                <w:rFonts w:hint="eastAsia"/>
                <w:lang w:val="en-US" w:eastAsia="zh-CN"/>
              </w:rPr>
              <w:t>外</w:t>
            </w:r>
            <w:r>
              <w:rPr>
                <w:rFonts w:hint="eastAsia"/>
              </w:rPr>
              <w:t>部沟通的人员是否得到了授权；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9"/>
              <w:ind w:left="0" w:leftChars="0" w:firstLine="0" w:firstLineChars="0"/>
            </w:pPr>
            <w:r>
              <w:rPr>
                <w:rFonts w:hint="eastAsia"/>
              </w:rPr>
              <w:t>外部沟通获得的信息是否作为管理评审输入，并用于更新HACCP体系。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外部提供产品或服务的控制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F7.1.6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4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9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型式检验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垃圾清运、虫害消杀</w:t>
            </w:r>
          </w:p>
          <w:p/>
          <w:p>
            <w:r>
              <w:rPr>
                <w:rFonts w:hint="eastAsia"/>
                <w:lang w:val="en-US" w:eastAsia="zh-CN"/>
              </w:rPr>
              <w:t>企业共有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家合格供方，</w:t>
            </w:r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9"/>
              <w:ind w:left="0" w:firstLine="0" w:firstLineChars="0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裕华一诺食品商行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调味料</w:t>
                  </w: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u w:val="single"/>
                    </w:rPr>
                    <w:t xml:space="preserve">92130108MA0EWB0C2E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JY11301080068269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</w:t>
                  </w:r>
                  <w:r>
                    <w:rPr>
                      <w:rFonts w:hint="eastAsia"/>
                      <w:u w:val="single"/>
                    </w:rPr>
                    <w:t xml:space="preserve">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产</w:t>
                  </w:r>
                  <w:r>
                    <w:rPr>
                      <w:highlight w:val="none"/>
                    </w:rPr>
                    <w:t>品名称：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加碘精制盐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  <w:highlight w:val="none"/>
                    </w:rPr>
                    <w:t>编</w:t>
                  </w:r>
                  <w:r>
                    <w:rPr>
                      <w:highlight w:val="none"/>
                    </w:rPr>
                    <w:t>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CP22010081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国家轻工业井矿盐质量监督检测中心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19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总砷、铅、镉、总汞、钡</w:t>
                  </w:r>
                  <w:r>
                    <w:rPr>
                      <w:rFonts w:hint="eastAsia"/>
                      <w:highlight w:val="none"/>
                      <w:u w:val="single"/>
                      <w:vertAlign w:val="baseli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u w:val="none"/>
                    </w:rPr>
                    <w:t>检</w:t>
                  </w:r>
                  <w:r>
                    <w:rPr>
                      <w:highlight w:val="none"/>
                      <w:u w:val="none"/>
                    </w:rPr>
                    <w:t>验结果：</w:t>
                  </w:r>
                  <w:r>
                    <w:rPr>
                      <w:highlight w:val="none"/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鸡精调味料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A4C107070A4F10C3385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大肠菌群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等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陈酿（酸性调味液）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ZD2022SY10196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河北智德检验检测股份有限公司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19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等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河北海犇商贸有限公司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速冻调制产品、冻肉类等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</w:t>
                  </w:r>
                  <w:r>
                    <w:rPr>
                      <w:rFonts w:hint="eastAsia"/>
                      <w:highlight w:val="none"/>
                    </w:rPr>
                    <w:t>业执照》编号：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91130104347984176W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《食</w:t>
                  </w:r>
                  <w:r>
                    <w:rPr>
                      <w:highlight w:val="none"/>
                    </w:rPr>
                    <w:t>品经营许可证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JY11301040087326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速烹鸡肉丁（丝/片）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HAQ2022-SP-0550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北京恵安清检测科技有限公司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总砷、铅、镉、铬、过氧化值、N-二甲基亚硝胺等。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鸭肉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FQG0304462273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青岛中一监测有限公司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总砷、铅、镉、铬、总汞、菌落总数、大肠菌群、沙门氏菌、兽药抗生素等指标。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95分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石家庄金盛粮油贸易有限公司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粮油类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6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91130104MA07R27N95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《食品经营许可证》编号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：JY1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1301040052204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大米</w:t>
                  </w:r>
                </w:p>
                <w:p>
                  <w:pPr>
                    <w:rPr>
                      <w:rFonts w:hint="default"/>
                      <w:highlight w:val="cyan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</w:t>
                  </w:r>
                  <w:r>
                    <w:rPr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ACC210007ACF1013598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17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铅、镉等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超精小麦粉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GZA202200600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河北冠卓检测科技股份有限公司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26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铅、镉、总砷、总汞、黄曲霉毒素B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、赭曲霉毒素A、玉米赤霉烯酮、六六六、滴滴涕、百草枯等。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非转基因大豆油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JX2022WT00469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河北玖辛检测技术服务有限公司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18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酸价、过氧化值、溶剂残留量等。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——未见重金属指标，已沟通后面索证关注。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93分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桥西区亿涵食品经销处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蛋类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92130104MA0FP68H32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9"/>
                    <w:ind w:left="0" w:firstLine="420" w:firstLineChars="20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蛋类以合格供方控制为主，验收以感官判定为主，在HACCP计划原辅料描述中规定了鸡蛋感官标准：蛋壳完整、无裂痕，有光泽；打开后不得有臭味、散黄、发黑。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桥西区町春商行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92130104MA0FWP3B2X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ind w:firstLine="420" w:firstLineChars="20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蔬菜类的农残控制以索证为主，抽查2022-06-21《桥西蔬菜农药残留快速检测合格证》，编号：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0243738</w:t>
                  </w: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，检测人员：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006</w:t>
                  </w: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2022-06-23《桥西蔬菜农药残留快速检测合格证》，编号：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0242371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，制证机构均为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桥西区市场监督管理局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，检测人员：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003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，记录了蔬菜名称、产地、数量、运输车辆车牌号等，盖章显示“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桥西蔬菜农药残留度检测合格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”。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96分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河北威猎生物科技有限公司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虫害消杀服务（捕鼠灭蟑）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91130105MA0A6LAXXG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中华人民共和国有害生物防制服务企业资质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提供有国家一级资质证书，提供证书复印件未显示编号，另据企业查询显示该证书编号为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GB202101367956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,部门：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中国清洁行业服务企业协会、中国有害生物防制行业管理中心等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，证书有效期期：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2021年4月20日至2024年4月19日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。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与企业签订了《有害生物防治服务合同》，服务项目为鼠害、蟑螂，服务频率未明确规定，查看虫害消杀工作记录，服务频次约为每月一次</w:t>
                  </w: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，合同有效期为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2021年8月27日至2022年8月26日</w:t>
                  </w: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。</w:t>
                  </w:r>
                </w:p>
                <w:p>
                  <w:pPr>
                    <w:pStyle w:val="9"/>
                    <w:ind w:left="0" w:leftChars="0" w:firstLine="0" w:firstLineChars="0"/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每次服务结束后会填写《河北联邦国际学校食堂（河北泓林）虫害消杀工作记录》，明确了消杀区域、害虫类型、消杀方法（粘鼠板、杀虫饵剂），由消杀人员和企业员工双方确认签字。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石家庄时分美环卫服务有限公司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生活垃圾清运服务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91130124MA0EYQ591A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与企业签订了《收运协议》，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合同有效期为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2021年8月28日至2022年8月28日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。由清运服务方对企业产生的生活垃圾（不包括厨余垃圾）进行集中收运并填写《垃圾清运记录》，餐厨垃圾的回收处理由学校统一管理。</w:t>
                  </w:r>
                </w:p>
                <w:p>
                  <w:pPr>
                    <w:pStyle w:val="9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同时查看</w:t>
            </w:r>
            <w:r>
              <w:rPr>
                <w:rFonts w:hint="eastAsia"/>
                <w:u w:val="single"/>
                <w:lang w:val="en-US" w:eastAsia="zh-CN"/>
              </w:rPr>
              <w:t xml:space="preserve"> 密胺筷子、劳保用品 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桥西区阜贯日用品店 </w:t>
            </w:r>
            <w:r>
              <w:rPr>
                <w:rFonts w:hint="eastAsia"/>
                <w:lang w:val="en-US" w:eastAsia="zh-CN"/>
              </w:rPr>
              <w:t>，与上述管控方式一致。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与企业沟通得知，食堂采购的肉类以冻品畜禽肉类为主，暂无采购鲜畜禽肉、水产品等；食堂仅供堂食，主要使用不锈钢餐盘、密胺筷子，不涉及打包餐盒的使用，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“密胺筷子</w:t>
            </w:r>
            <w:r>
              <w:rPr>
                <w:rFonts w:hint="default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”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提供了编号为LNR201208020的检测报告，项目包括浸泡液、可溶性重金属迁移量等，结果为符合，签发日期为2020-12-11,供方回复报告有效期为4年，因执行标准GB4806.6-2016未明确型式检验频次，且密胺筷子作为重复性使用材料，企业近期未购入新筷子，视同有效，下次审核关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餐厨垃圾回收处理由学校统一管理。</w:t>
            </w:r>
            <w:r>
              <w:rPr>
                <w:rFonts w:hint="eastAsia"/>
                <w:u w:val="none"/>
                <w:lang w:val="en-US" w:eastAsia="zh-CN"/>
              </w:rPr>
              <w:t>84消毒液、洗手液、酒精等从正规超市购买。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抽查重要供方的评价记录名称：</w:t>
            </w:r>
            <w:r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  <w:t>《 供方评定记录表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裕华一诺食品商行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调味料类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highlight w:val="yellow"/>
                <w:lang w:val="en-US" w:eastAsia="zh-CN"/>
              </w:rPr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河北海犇商贸有限公司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冻品类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none"/>
              </w:rPr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桥西区町春商行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highlight w:val="none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10" w:firstLineChars="10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同时还抽查了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鸡蛋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桥西区亿涵食品经销处</w:t>
            </w:r>
            <w:r>
              <w:rPr>
                <w:rFonts w:hint="eastAsia" w:ascii="宋体" w:hAnsi="宋体" w:eastAsia="宋体" w:cs="Times New Roman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与上述供方评价和选择控制情况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</w:p>
          <w:p>
            <w:pPr>
              <w:spacing w:line="360" w:lineRule="auto"/>
              <w:rPr>
                <w:rFonts w:hint="default"/>
                <w:u w:val="none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前提方案</w:t>
            </w:r>
            <w:r>
              <w:rPr>
                <w:sz w:val="21"/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  <w:lang w:val="en-US" w:eastAsia="zh-CN"/>
              </w:rPr>
              <w:t>8.2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F8.5.4.5H(V1.0)4.3.4</w:t>
            </w:r>
          </w:p>
          <w:p>
            <w:pPr>
              <w:pStyle w:val="9"/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 w:ascii="宋体" w:hAnsi="宋体"/>
              </w:rPr>
              <w:t>手册条款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前提方案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171" w:type="dxa"/>
            <w:vAlign w:val="top"/>
          </w:tcPr>
          <w:p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>PRP，</w:t>
            </w:r>
            <w:r>
              <w:rPr>
                <w:rFonts w:hint="eastAsia"/>
                <w:lang w:eastAsia="zh-CN"/>
              </w:rPr>
              <w:t>本部门</w:t>
            </w:r>
            <w:r>
              <w:rPr>
                <w:rFonts w:hint="eastAsia"/>
              </w:rPr>
              <w:t>内容包括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u w:val="none"/>
                <w:lang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查看2022年4-6月</w:t>
            </w:r>
            <w:r>
              <w:rPr>
                <w:rFonts w:hint="eastAsia"/>
                <w:highlight w:val="none"/>
                <w:u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餐饮服务业食品及原料采购进货验收台账</w:t>
            </w:r>
            <w:r>
              <w:rPr>
                <w:rFonts w:hint="eastAsia"/>
                <w:highlight w:val="none"/>
                <w:u w:val="none"/>
                <w:lang w:eastAsia="zh-CN"/>
              </w:rPr>
              <w:t>》</w:t>
            </w:r>
            <w:r>
              <w:rPr>
                <w:rFonts w:hint="eastAsia"/>
                <w:u w:val="none"/>
                <w:lang w:eastAsia="zh-CN"/>
              </w:rPr>
              <w:t>，项目包括</w:t>
            </w:r>
            <w:r>
              <w:rPr>
                <w:rFonts w:hint="eastAsia"/>
                <w:u w:val="none"/>
                <w:lang w:val="en-US" w:eastAsia="zh-CN"/>
              </w:rPr>
              <w:t>进货时间、商品名称</w:t>
            </w:r>
            <w:r>
              <w:rPr>
                <w:rFonts w:hint="eastAsia"/>
                <w:u w:val="none"/>
                <w:lang w:eastAsia="zh-CN"/>
              </w:rPr>
              <w:t>、规格、</w:t>
            </w:r>
            <w:r>
              <w:rPr>
                <w:rFonts w:hint="eastAsia"/>
                <w:u w:val="none"/>
                <w:lang w:val="en-US" w:eastAsia="zh-CN"/>
              </w:rPr>
              <w:t>数量、供货商</w:t>
            </w:r>
            <w:r>
              <w:rPr>
                <w:rFonts w:hint="eastAsia"/>
                <w:u w:val="none"/>
                <w:lang w:eastAsia="zh-CN"/>
              </w:rPr>
              <w:t>、</w:t>
            </w:r>
            <w:r>
              <w:rPr>
                <w:rFonts w:hint="eastAsia"/>
                <w:u w:val="none"/>
                <w:lang w:val="en-US" w:eastAsia="zh-CN"/>
              </w:rPr>
              <w:t>供货商电话、生产日期或批号、保质期限、保存条件、验收情况、验收人</w:t>
            </w:r>
            <w:r>
              <w:rPr>
                <w:rFonts w:hint="eastAsia"/>
                <w:u w:val="none"/>
                <w:lang w:eastAsia="zh-CN"/>
              </w:rPr>
              <w:t>等，符合要求。</w:t>
            </w:r>
          </w:p>
          <w:p>
            <w:pPr>
              <w:pStyle w:val="9"/>
              <w:rPr>
                <w:rFonts w:hint="eastAsia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企业建立了《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OPRP及HACCP计划》</w:t>
            </w:r>
            <w:r>
              <w:rPr>
                <w:rFonts w:hint="eastAsia"/>
                <w:u w:val="none"/>
                <w:lang w:val="en-US" w:eastAsia="zh-CN"/>
              </w:rPr>
              <w:t>，查看原材料描述，包括了针对畜禽肉类、米面粮油、蛋类、蔬菜类的验收标准，检验方法以感官为主。例如：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鸡蛋：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>蛋壳完整、无裂痕，有光泽；打开后不得有臭味、散黄、发黑。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新鲜蔬菜：新鲜，成熟适度，风味正常，无病虫害，无腐烂。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大米：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色泽、香味正常，无虫蛀、霉变现象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16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60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撤回/召回</w:t>
            </w:r>
          </w:p>
        </w:tc>
        <w:tc>
          <w:tcPr>
            <w:tcW w:w="960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F8.9.5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(V1.0)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3.9</w:t>
            </w:r>
          </w:p>
        </w:tc>
        <w:tc>
          <w:tcPr>
            <w:tcW w:w="730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186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 xml:space="preserve">8.11.5条款  </w:t>
            </w:r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>《产品撤回/召回控制程序》</w:t>
            </w:r>
          </w:p>
        </w:tc>
        <w:tc>
          <w:tcPr>
            <w:tcW w:w="1673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60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960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730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186" w:type="dxa"/>
            <w:gridSpan w:val="2"/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noWrap w:val="0"/>
                  <w:vAlign w:val="top"/>
                </w:tcPr>
                <w:p/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经营部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经营部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color w:val="0000FF"/>
              </w:rPr>
            </w:pPr>
          </w:p>
          <w:p>
            <w:pPr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其他如召回演练实施——详见食品安全小组审核记录。</w:t>
            </w:r>
          </w:p>
        </w:tc>
        <w:tc>
          <w:tcPr>
            <w:tcW w:w="1673" w:type="dxa"/>
            <w:vMerge w:val="continue"/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投诉处理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pPr>
              <w:pStyle w:val="14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5.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10.2.1条款</w:t>
            </w:r>
            <w:r>
              <w:rPr>
                <w:rFonts w:hint="eastAsia"/>
              </w:rPr>
              <w:t>、</w:t>
            </w:r>
            <w:r>
              <w:rPr/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  <w:szCs w:val="21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vAlign w:val="top"/>
          </w:tcPr>
          <w:p>
            <w:r>
              <w:rPr>
                <w:rFonts w:hint="eastAsia"/>
              </w:rPr>
              <w:t>企业对投诉及投诉信息进行管理：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查看投诉处理记录：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未发生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tbl>
            <w:tblPr>
              <w:tblStyle w:val="11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1"/>
              <w:gridCol w:w="944"/>
              <w:gridCol w:w="2024"/>
              <w:gridCol w:w="1128"/>
              <w:gridCol w:w="1024"/>
              <w:gridCol w:w="1304"/>
              <w:gridCol w:w="13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>
                  <w:r>
                    <w:rPr>
                      <w:rFonts w:hint="eastAsia"/>
                    </w:rPr>
                    <w:t>投诉日期</w:t>
                  </w:r>
                </w:p>
              </w:tc>
              <w:tc>
                <w:tcPr>
                  <w:tcW w:w="944" w:type="dxa"/>
                </w:tcPr>
                <w:p>
                  <w:r>
                    <w:rPr>
                      <w:rFonts w:hint="eastAsia"/>
                    </w:rPr>
                    <w:t>投诉人</w:t>
                  </w:r>
                </w:p>
              </w:tc>
              <w:tc>
                <w:tcPr>
                  <w:tcW w:w="2024" w:type="dxa"/>
                </w:tcPr>
                <w:p>
                  <w:r>
                    <w:rPr>
                      <w:rFonts w:hint="eastAsia"/>
                    </w:rPr>
                    <w:t>投诉内容</w:t>
                  </w:r>
                </w:p>
              </w:tc>
              <w:tc>
                <w:tcPr>
                  <w:tcW w:w="1128" w:type="dxa"/>
                </w:tcPr>
                <w:p>
                  <w:r>
                    <w:rPr>
                      <w:rFonts w:hint="eastAsia"/>
                    </w:rPr>
                    <w:t>投诉方式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受理人</w:t>
                  </w:r>
                </w:p>
              </w:tc>
              <w:tc>
                <w:tcPr>
                  <w:tcW w:w="1304" w:type="dxa"/>
                </w:tcPr>
                <w:p>
                  <w:r>
                    <w:rPr>
                      <w:rFonts w:hint="eastAsia"/>
                    </w:rPr>
                    <w:t>处理结果</w:t>
                  </w:r>
                </w:p>
              </w:tc>
              <w:tc>
                <w:tcPr>
                  <w:tcW w:w="1304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/>
              </w:tc>
              <w:tc>
                <w:tcPr>
                  <w:tcW w:w="944" w:type="dxa"/>
                </w:tcPr>
                <w:p/>
              </w:tc>
              <w:tc>
                <w:tcPr>
                  <w:tcW w:w="2024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304" w:type="dxa"/>
                </w:tcPr>
                <w:p/>
              </w:tc>
              <w:tc>
                <w:tcPr>
                  <w:tcW w:w="13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1" w:type="dxa"/>
                </w:tcPr>
                <w:p/>
              </w:tc>
              <w:tc>
                <w:tcPr>
                  <w:tcW w:w="944" w:type="dxa"/>
                </w:tcPr>
                <w:p/>
              </w:tc>
              <w:tc>
                <w:tcPr>
                  <w:tcW w:w="2024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304" w:type="dxa"/>
                </w:tcPr>
                <w:p/>
              </w:tc>
              <w:tc>
                <w:tcPr>
                  <w:tcW w:w="13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01" w:type="dxa"/>
                </w:tcPr>
                <w:p/>
              </w:tc>
              <w:tc>
                <w:tcPr>
                  <w:tcW w:w="944" w:type="dxa"/>
                </w:tcPr>
                <w:p/>
              </w:tc>
              <w:tc>
                <w:tcPr>
                  <w:tcW w:w="2024" w:type="dxa"/>
                </w:tcPr>
                <w:p/>
              </w:tc>
              <w:tc>
                <w:tcPr>
                  <w:tcW w:w="1128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304" w:type="dxa"/>
                </w:tcPr>
                <w:p/>
              </w:tc>
              <w:tc>
                <w:tcPr>
                  <w:tcW w:w="130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规定负责投诉处理人员的职责权限。</w:t>
            </w:r>
          </w:p>
          <w:p>
            <w:pPr>
              <w:pStyle w:val="9"/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3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8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NWE4NWNiZGM2NDBmZGMxOGM5MzFiMmJmYWNlMWE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107C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054645"/>
    <w:rsid w:val="1E3D6E5E"/>
    <w:rsid w:val="1E511FFA"/>
    <w:rsid w:val="1E675439"/>
    <w:rsid w:val="1E752FA2"/>
    <w:rsid w:val="1E846B0F"/>
    <w:rsid w:val="1E8A1FBA"/>
    <w:rsid w:val="1EC475D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2BF6DB0"/>
    <w:rsid w:val="232035A5"/>
    <w:rsid w:val="23363714"/>
    <w:rsid w:val="23461CA8"/>
    <w:rsid w:val="238A1BAA"/>
    <w:rsid w:val="23900E62"/>
    <w:rsid w:val="23BF3886"/>
    <w:rsid w:val="23D55EAF"/>
    <w:rsid w:val="24185E77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87380A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8466BA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33100"/>
    <w:rsid w:val="3A5573DE"/>
    <w:rsid w:val="3AAB1306"/>
    <w:rsid w:val="3ABD0173"/>
    <w:rsid w:val="3AC172FF"/>
    <w:rsid w:val="3ACE23E2"/>
    <w:rsid w:val="3B0D014A"/>
    <w:rsid w:val="3B227AA7"/>
    <w:rsid w:val="3B4241C0"/>
    <w:rsid w:val="3B5C0335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441E5A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4D232A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A636C1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125CE7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4D7D1B"/>
    <w:rsid w:val="66510B21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E66BD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E1136F"/>
    <w:rsid w:val="6BF66D35"/>
    <w:rsid w:val="6C1272FC"/>
    <w:rsid w:val="6C3014BE"/>
    <w:rsid w:val="6C5D414F"/>
    <w:rsid w:val="6C6F4B92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834E4"/>
    <w:rsid w:val="6F2A5843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526329"/>
    <w:rsid w:val="70795456"/>
    <w:rsid w:val="70914F27"/>
    <w:rsid w:val="709946EC"/>
    <w:rsid w:val="70BD47C6"/>
    <w:rsid w:val="712E356F"/>
    <w:rsid w:val="724D262A"/>
    <w:rsid w:val="72702455"/>
    <w:rsid w:val="728C619C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774F9"/>
    <w:rsid w:val="7648538B"/>
    <w:rsid w:val="764D4C93"/>
    <w:rsid w:val="76531223"/>
    <w:rsid w:val="76A5575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4C3AAB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  <w:rsid w:val="7FEC2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  <w:iCs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9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20">
    <w:name w:val="标题 1 字符"/>
    <w:basedOn w:val="12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5424</Words>
  <Characters>6185</Characters>
  <Lines>20</Lines>
  <Paragraphs>5</Paragraphs>
  <TotalTime>1</TotalTime>
  <ScaleCrop>false</ScaleCrop>
  <LinksUpToDate>false</LinksUpToDate>
  <CharactersWithSpaces>6661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Administrator</cp:lastModifiedBy>
  <dcterms:modified xsi:type="dcterms:W3CDTF">2022-06-28T10:29:18Z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95CAEA9A21C943D2992277AE793237C5</vt:lpwstr>
  </property>
</Properties>
</file>