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石家庄鸿福物业服务有限公司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提供服务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保安、保洁、垃圾清运、维修、接待等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保洁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保安、电梯运维、垃圾清运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物业管理条例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2007.10.1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中华人民共和国国务院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清洁服务.质量度量系统的基本要求和推荐方法 EN 13549-2001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CJJ/T 126-2008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2009.5.1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城市道路清扫保洁质量与作业要求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DB11/T 353-2014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2015-04-01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城市生活垃圾管理办法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2015.5.4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清洁行业经营服务规范SB/T 10595-2011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建筑及居住区数字化技术应用 第3部分：物业管理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20299.3-2006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社区服务指南 第9部分：物业服务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20647.9-2006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167640</wp:posOffset>
                  </wp:positionV>
                  <wp:extent cx="673100" cy="374650"/>
                  <wp:effectExtent l="0" t="0" r="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104775</wp:posOffset>
                  </wp:positionV>
                  <wp:extent cx="850265" cy="409575"/>
                  <wp:effectExtent l="0" t="0" r="0" b="0"/>
                  <wp:wrapNone/>
                  <wp:docPr id="5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石家庄鸿福物业服务有限公司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提供服务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保安、保洁、垃圾清运、维修、接待等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体废弃物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排放、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、能源资源消耗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环境保护法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危险废物贮存污染控制标准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GB18597-2001/XG1-2013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2013-06-08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污水综合排放标准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GB8978-1996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1998-01-01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地表水环境质量标准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 xml:space="preserve">GB 3838-2002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2002-06-01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环境空气质量标准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3095-2012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2016-01-01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声环境质量标准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3096-2008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2008-10-01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大气污染物综合排放标准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16297-1996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1997-01-01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室内空气质量标准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GB/T 18883-2002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2003-03-01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186690</wp:posOffset>
                  </wp:positionV>
                  <wp:extent cx="673100" cy="3746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108585</wp:posOffset>
                  </wp:positionV>
                  <wp:extent cx="850265" cy="409575"/>
                  <wp:effectExtent l="0" t="0" r="0" b="0"/>
                  <wp:wrapNone/>
                  <wp:docPr id="6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B0B559B"/>
    <w:rsid w:val="23126F34"/>
    <w:rsid w:val="3DD16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746</Words>
  <Characters>1120</Characters>
  <Lines>2</Lines>
  <Paragraphs>1</Paragraphs>
  <TotalTime>28</TotalTime>
  <ScaleCrop>false</ScaleCrop>
  <LinksUpToDate>false</LinksUpToDate>
  <CharactersWithSpaces>1162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2022-06-27T08:48:51Z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