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0516-2022-Q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秦皇岛力超电机有限公司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1"/>
        <w:rPr>
          <w:rFonts w:hint="eastAsia"/>
        </w:rPr>
      </w:pPr>
    </w:p>
    <w:p>
      <w:pPr>
        <w:pStyle w:val="11"/>
        <w:rPr>
          <w:rFonts w:hint="eastAsia"/>
        </w:rPr>
      </w:pPr>
    </w:p>
    <w:p>
      <w:pPr>
        <w:pStyle w:val="11"/>
      </w:pPr>
    </w:p>
    <w:p>
      <w:r>
        <w:rPr>
          <w:rFonts w:hint="eastAsia"/>
        </w:rPr>
        <w:t>一、受审核方基本信息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秦皇岛力超电机有限公司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秦皇岛市海港区民族北路118号</w:t>
            </w:r>
            <w:bookmarkEnd w:id="6"/>
          </w:p>
        </w:tc>
        <w:tc>
          <w:tcPr>
            <w:tcW w:w="1242" w:type="dxa"/>
            <w:vMerge w:val="restart"/>
            <w:vAlign w:val="center"/>
          </w:tcPr>
          <w:p>
            <w:r>
              <w:rPr>
                <w:rFonts w:hint="eastAsia"/>
              </w:rPr>
              <w:t>邮编</w:t>
            </w:r>
          </w:p>
        </w:tc>
        <w:tc>
          <w:tcPr>
            <w:tcW w:w="1771" w:type="dxa"/>
          </w:tcPr>
          <w:p>
            <w:bookmarkStart w:id="7" w:name="注册邮编"/>
            <w:r>
              <w:t>066000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河北省秦皇岛市海港区杜庄镇紫峰坨村村东</w:t>
            </w:r>
            <w:bookmarkEnd w:id="8"/>
          </w:p>
        </w:tc>
        <w:tc>
          <w:tcPr>
            <w:tcW w:w="1242" w:type="dxa"/>
            <w:vMerge w:val="continue"/>
            <w:vAlign w:val="center"/>
          </w:tcPr>
          <w:p/>
        </w:tc>
        <w:tc>
          <w:tcPr>
            <w:tcW w:w="1771" w:type="dxa"/>
          </w:tcPr>
          <w:p>
            <w:bookmarkStart w:id="9" w:name="办公邮编"/>
            <w:r>
              <w:t>066000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苏士超</w:t>
            </w:r>
            <w:bookmarkEnd w:id="10"/>
          </w:p>
        </w:tc>
        <w:tc>
          <w:tcPr>
            <w:tcW w:w="1313" w:type="dxa"/>
            <w:vAlign w:val="center"/>
          </w:tcPr>
          <w:p>
            <w:r>
              <w:rPr>
                <w:rFonts w:hint="eastAsia"/>
              </w:rPr>
              <w:t>电话.</w:t>
            </w:r>
          </w:p>
        </w:tc>
        <w:tc>
          <w:tcPr>
            <w:tcW w:w="2180" w:type="dxa"/>
            <w:vAlign w:val="center"/>
          </w:tcPr>
          <w:p>
            <w:bookmarkStart w:id="11" w:name="联系人电话"/>
            <w:r>
              <w:t>13833531239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苏万耕</w:t>
            </w:r>
            <w:bookmarkEnd w:id="13"/>
          </w:p>
        </w:tc>
        <w:tc>
          <w:tcPr>
            <w:tcW w:w="1313" w:type="dxa"/>
            <w:vAlign w:val="center"/>
          </w:tcPr>
          <w:p>
            <w:r>
              <w:rPr>
                <w:rFonts w:hint="eastAsia"/>
              </w:rPr>
              <w:t>管理者代表</w:t>
            </w:r>
          </w:p>
        </w:tc>
        <w:tc>
          <w:tcPr>
            <w:tcW w:w="2180" w:type="dxa"/>
          </w:tcPr>
          <w:p>
            <w:bookmarkStart w:id="14" w:name="管理者代表"/>
            <w:r>
              <w:t>苏士超</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 xml:space="preserve">采购半成品（轴承、铜线、机壳、端盖）----组装------喷漆-----成品----交付前检验----贴标签-----检测----包装出库 </w:t>
            </w:r>
          </w:p>
        </w:tc>
      </w:tr>
    </w:tbl>
    <w:p/>
    <w:p>
      <w:r>
        <w:rPr>
          <w:rFonts w:hint="eastAsia"/>
        </w:rPr>
        <w:t>二、本次审核信息</w:t>
      </w:r>
    </w:p>
    <w:tbl>
      <w:tblPr>
        <w:tblStyle w:val="7"/>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2022年06月22日 上午至2022年06月22日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r>
              <w:rPr>
                <w:rFonts w:hint="eastAsia"/>
              </w:rPr>
              <w:t>中小型三项异步电</w:t>
            </w:r>
            <w:r>
              <w:rPr>
                <w:rFonts w:hint="eastAsia"/>
                <w:lang w:val="en-US" w:eastAsia="zh-CN"/>
              </w:rPr>
              <w:t>动</w:t>
            </w:r>
            <w:r>
              <w:rPr>
                <w:rFonts w:hint="eastAsia"/>
              </w:rPr>
              <w:t>机及配件的加工</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19.09.01</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462"/>
        <w:gridCol w:w="1860"/>
        <w:gridCol w:w="172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19"/>
              <w:spacing w:before="0" w:after="0"/>
              <w:rPr>
                <w:rFonts w:eastAsia="黑体" w:cs="Arial"/>
                <w:sz w:val="21"/>
                <w:szCs w:val="21"/>
                <w:lang w:eastAsia="zh-CN"/>
              </w:rPr>
            </w:pPr>
            <w:r>
              <w:rPr>
                <w:rFonts w:eastAsia="黑体" w:cs="Arial"/>
                <w:sz w:val="21"/>
                <w:szCs w:val="21"/>
                <w:lang w:eastAsia="zh-CN"/>
              </w:rPr>
              <w:t>场所编号</w:t>
            </w:r>
          </w:p>
          <w:p>
            <w:pPr>
              <w:pStyle w:val="19"/>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经营场所的地址</w:t>
            </w:r>
          </w:p>
        </w:tc>
        <w:tc>
          <w:tcPr>
            <w:tcW w:w="462"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员工人数</w:t>
            </w:r>
          </w:p>
        </w:tc>
        <w:tc>
          <w:tcPr>
            <w:tcW w:w="1860" w:type="dxa"/>
            <w:shd w:val="clear" w:color="auto" w:fill="F3F3F3"/>
            <w:tcMar>
              <w:left w:w="57" w:type="dxa"/>
              <w:right w:w="57" w:type="dxa"/>
            </w:tcMar>
          </w:tcPr>
          <w:p>
            <w:pPr>
              <w:pStyle w:val="19"/>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19"/>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721"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sz w:val="21"/>
                <w:szCs w:val="21"/>
                <w:lang w:val="de-DE" w:eastAsia="ja-JP"/>
              </w:rPr>
            </w:pPr>
            <w:r>
              <w:rPr>
                <w:rFonts w:hint="eastAsia"/>
                <w:sz w:val="21"/>
                <w:szCs w:val="21"/>
                <w:lang w:val="de-DE" w:eastAsia="ja-JP"/>
              </w:rPr>
              <w:t>秦皇岛力超电机有限公司</w:t>
            </w:r>
          </w:p>
        </w:tc>
        <w:tc>
          <w:tcPr>
            <w:tcW w:w="2267" w:type="dxa"/>
          </w:tcPr>
          <w:p>
            <w:pPr>
              <w:spacing w:before="40" w:after="40"/>
              <w:rPr>
                <w:rFonts w:hint="eastAsia"/>
                <w:sz w:val="21"/>
                <w:szCs w:val="21"/>
                <w:lang w:val="de-DE" w:eastAsia="ja-JP"/>
              </w:rPr>
            </w:pPr>
            <w:r>
              <w:rPr>
                <w:rFonts w:hint="eastAsia"/>
                <w:sz w:val="21"/>
                <w:szCs w:val="21"/>
                <w:lang w:val="de-DE" w:eastAsia="ja-JP"/>
              </w:rPr>
              <w:t>河北省秦皇岛市海港区杜庄镇紫峰坨村村东</w:t>
            </w:r>
          </w:p>
        </w:tc>
        <w:tc>
          <w:tcPr>
            <w:tcW w:w="462" w:type="dxa"/>
            <w:vAlign w:val="center"/>
          </w:tcPr>
          <w:p>
            <w:pPr>
              <w:spacing w:before="40" w:after="40"/>
              <w:rPr>
                <w:rFonts w:hint="eastAsia"/>
                <w:sz w:val="21"/>
                <w:szCs w:val="21"/>
                <w:lang w:val="en-US" w:eastAsia="zh-CN"/>
              </w:rPr>
            </w:pPr>
            <w:r>
              <w:rPr>
                <w:rFonts w:hint="eastAsia"/>
                <w:sz w:val="21"/>
                <w:szCs w:val="21"/>
                <w:lang w:val="en-US" w:eastAsia="zh-CN"/>
              </w:rPr>
              <w:t>5</w:t>
            </w:r>
          </w:p>
        </w:tc>
        <w:tc>
          <w:tcPr>
            <w:tcW w:w="1860" w:type="dxa"/>
            <w:vAlign w:val="center"/>
          </w:tcPr>
          <w:p>
            <w:pPr>
              <w:spacing w:before="40" w:after="40"/>
              <w:rPr>
                <w:rFonts w:hint="eastAsia"/>
                <w:sz w:val="21"/>
                <w:szCs w:val="21"/>
                <w:lang w:val="en-US" w:eastAsia="ja-JP"/>
              </w:rPr>
            </w:pPr>
            <w:r>
              <w:rPr>
                <w:rFonts w:hint="eastAsia"/>
                <w:sz w:val="21"/>
                <w:szCs w:val="21"/>
                <w:lang w:val="en-US" w:eastAsia="ja-JP"/>
              </w:rPr>
              <w:t>电机及配件的加工</w:t>
            </w:r>
          </w:p>
        </w:tc>
        <w:tc>
          <w:tcPr>
            <w:tcW w:w="1721" w:type="dxa"/>
            <w:vAlign w:val="center"/>
          </w:tcPr>
          <w:p>
            <w:pPr>
              <w:spacing w:before="40" w:after="40"/>
              <w:rPr>
                <w:rFonts w:hint="eastAsia"/>
                <w:sz w:val="21"/>
                <w:szCs w:val="21"/>
                <w:lang w:val="de-DE" w:eastAsia="ja-JP"/>
              </w:rPr>
            </w:pPr>
            <w:r>
              <w:rPr>
                <w:rFonts w:hint="eastAsia"/>
                <w:sz w:val="21"/>
                <w:szCs w:val="21"/>
                <w:lang w:val="de-DE" w:eastAsia="ja-JP"/>
              </w:rPr>
              <w:t xml:space="preserve">GB/T19001-2016/ISO9001:2015 </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b/>
                    <w:sz w:val="21"/>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r>
              <w:rPr>
                <w:sz w:val="21"/>
                <w:szCs w:val="21"/>
              </w:rPr>
              <w:t>秦皇岛市海港区民族北路118号</w:t>
            </w:r>
          </w:p>
        </w:tc>
        <w:tc>
          <w:tcPr>
            <w:tcW w:w="2267" w:type="dxa"/>
            <w:vAlign w:val="center"/>
          </w:tcPr>
          <w:p>
            <w:pPr>
              <w:spacing w:before="40" w:after="40"/>
              <w:rPr>
                <w:rFonts w:eastAsia="黑体"/>
                <w:szCs w:val="21"/>
                <w:lang w:eastAsia="ja-JP"/>
              </w:rPr>
            </w:pPr>
          </w:p>
        </w:tc>
        <w:tc>
          <w:tcPr>
            <w:tcW w:w="462" w:type="dxa"/>
            <w:vAlign w:val="center"/>
          </w:tcPr>
          <w:p>
            <w:pPr>
              <w:spacing w:before="40" w:after="40"/>
              <w:rPr>
                <w:rFonts w:eastAsia="黑体"/>
                <w:szCs w:val="21"/>
                <w:lang w:eastAsia="ja-JP"/>
              </w:rPr>
            </w:pPr>
          </w:p>
        </w:tc>
        <w:tc>
          <w:tcPr>
            <w:tcW w:w="1860" w:type="dxa"/>
            <w:vAlign w:val="center"/>
          </w:tcPr>
          <w:p>
            <w:pPr>
              <w:spacing w:before="40" w:after="40"/>
              <w:rPr>
                <w:rFonts w:eastAsia="黑体"/>
                <w:szCs w:val="21"/>
                <w:lang w:eastAsia="ja-JP"/>
              </w:rPr>
            </w:pPr>
          </w:p>
        </w:tc>
        <w:tc>
          <w:tcPr>
            <w:tcW w:w="172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462" w:type="dxa"/>
            <w:vAlign w:val="center"/>
          </w:tcPr>
          <w:p>
            <w:pPr>
              <w:spacing w:before="40" w:after="40"/>
              <w:rPr>
                <w:rFonts w:eastAsia="黑体"/>
                <w:szCs w:val="21"/>
                <w:lang w:eastAsia="ja-JP"/>
              </w:rPr>
            </w:pPr>
          </w:p>
        </w:tc>
        <w:tc>
          <w:tcPr>
            <w:tcW w:w="1860" w:type="dxa"/>
            <w:vAlign w:val="center"/>
          </w:tcPr>
          <w:p>
            <w:pPr>
              <w:spacing w:before="40" w:after="40"/>
              <w:rPr>
                <w:rFonts w:eastAsia="黑体"/>
                <w:szCs w:val="21"/>
                <w:lang w:eastAsia="ja-JP"/>
              </w:rPr>
            </w:pPr>
          </w:p>
        </w:tc>
        <w:tc>
          <w:tcPr>
            <w:tcW w:w="172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462" w:type="dxa"/>
            <w:vAlign w:val="center"/>
          </w:tcPr>
          <w:p>
            <w:pPr>
              <w:spacing w:before="40" w:after="40"/>
              <w:rPr>
                <w:rFonts w:eastAsia="黑体"/>
                <w:szCs w:val="21"/>
                <w:lang w:eastAsia="ja-JP"/>
              </w:rPr>
            </w:pPr>
          </w:p>
        </w:tc>
        <w:tc>
          <w:tcPr>
            <w:tcW w:w="1860" w:type="dxa"/>
            <w:vAlign w:val="center"/>
          </w:tcPr>
          <w:p>
            <w:pPr>
              <w:spacing w:before="40" w:after="40"/>
              <w:rPr>
                <w:rFonts w:eastAsia="黑体"/>
                <w:szCs w:val="21"/>
                <w:lang w:eastAsia="ja-JP"/>
              </w:rPr>
            </w:pPr>
          </w:p>
        </w:tc>
        <w:tc>
          <w:tcPr>
            <w:tcW w:w="172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462" w:type="dxa"/>
            <w:vAlign w:val="center"/>
          </w:tcPr>
          <w:p>
            <w:pPr>
              <w:spacing w:before="40" w:after="40"/>
              <w:rPr>
                <w:rFonts w:eastAsia="黑体"/>
                <w:szCs w:val="21"/>
                <w:lang w:eastAsia="ja-JP"/>
              </w:rPr>
            </w:pPr>
          </w:p>
        </w:tc>
        <w:tc>
          <w:tcPr>
            <w:tcW w:w="1860" w:type="dxa"/>
            <w:vAlign w:val="center"/>
          </w:tcPr>
          <w:p>
            <w:pPr>
              <w:spacing w:before="40" w:after="40"/>
              <w:rPr>
                <w:rFonts w:eastAsia="黑体"/>
                <w:szCs w:val="21"/>
                <w:lang w:eastAsia="ja-JP"/>
              </w:rPr>
            </w:pPr>
          </w:p>
        </w:tc>
        <w:tc>
          <w:tcPr>
            <w:tcW w:w="172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
      <w:r>
        <w:rPr>
          <w:rFonts w:hint="eastAsia"/>
        </w:rPr>
        <w:t>三、任何影响审核方案的重要事项：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张星</w:t>
            </w:r>
          </w:p>
        </w:tc>
        <w:tc>
          <w:tcPr>
            <w:tcW w:w="1089" w:type="dxa"/>
            <w:vAlign w:val="center"/>
          </w:tcPr>
          <w:p>
            <w:r>
              <w:t>组长</w:t>
            </w:r>
          </w:p>
        </w:tc>
        <w:tc>
          <w:tcPr>
            <w:tcW w:w="711" w:type="dxa"/>
            <w:vAlign w:val="center"/>
          </w:tcPr>
          <w:p>
            <w:r>
              <w:t>女</w:t>
            </w:r>
          </w:p>
        </w:tc>
        <w:tc>
          <w:tcPr>
            <w:tcW w:w="3870" w:type="dxa"/>
            <w:vAlign w:val="center"/>
          </w:tcPr>
          <w:p>
            <w:r>
              <w:t>2020-N1QMS-1263722</w:t>
            </w:r>
          </w:p>
        </w:tc>
        <w:tc>
          <w:tcPr>
            <w:tcW w:w="2179" w:type="dxa"/>
            <w:vAlign w:val="center"/>
          </w:tcPr>
          <w:p>
            <w:r>
              <w:t>19.09.01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7"/>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hint="eastAsia"/>
              </w:rPr>
              <w:t>中小型三项异步电</w:t>
            </w:r>
            <w:r>
              <w:rPr>
                <w:rFonts w:hint="eastAsia"/>
                <w:lang w:val="en-US" w:eastAsia="zh-CN"/>
              </w:rPr>
              <w:t>动</w:t>
            </w:r>
            <w:r>
              <w:rPr>
                <w:rFonts w:hint="eastAsia"/>
              </w:rPr>
              <w:t>机及配件的加工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7"/>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793750" cy="149225"/>
                  <wp:effectExtent l="0" t="0" r="635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793750" cy="149225"/>
                          </a:xfrm>
                          <a:prstGeom prst="rect">
                            <a:avLst/>
                          </a:prstGeom>
                          <a:noFill/>
                          <a:ln>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 xml:space="preserve">  2022.6.22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1"/>
      </w:pPr>
    </w:p>
    <w:p>
      <w:pPr>
        <w:pStyle w:val="11"/>
      </w:pPr>
    </w:p>
    <w:p>
      <w:pPr>
        <w:pStyle w:val="11"/>
      </w:pPr>
    </w:p>
    <w:tbl>
      <w:tblPr>
        <w:tblStyle w:val="8"/>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57"/>
        <w:gridCol w:w="9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A3"/>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sym w:font="Wingdings 2" w:char="00A3"/>
            </w: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sym w:font="Wingdings 2" w:char="00A3"/>
            </w:r>
            <w:r>
              <w:rPr>
                <w:rFonts w:hint="eastAsia"/>
              </w:rPr>
              <w:t xml:space="preserve">新产品设计开发 </w:t>
            </w:r>
            <w:r>
              <w:rPr>
                <w:rFonts w:hint="eastAsia"/>
              </w:rPr>
              <w:sym w:font="Wingdings 2" w:char="00A3"/>
            </w:r>
            <w:r>
              <w:rPr>
                <w:rFonts w:hint="eastAsia"/>
              </w:rPr>
              <w:t xml:space="preserve">原材料订制 </w:t>
            </w:r>
            <w:r>
              <w:rPr>
                <w:rFonts w:hint="eastAsia"/>
              </w:rPr>
              <w:sym w:font="Wingdings 2" w:char="0052"/>
            </w:r>
            <w:r>
              <w:rPr>
                <w:rFonts w:hint="eastAsia"/>
              </w:rPr>
              <w:t xml:space="preserve">生产/服务过程 □检验检测 </w:t>
            </w:r>
            <w:r>
              <w:rPr>
                <w:rFonts w:hint="eastAsia"/>
              </w:rPr>
              <w:sym w:font="Wingdings 2" w:char="00A3"/>
            </w:r>
            <w:r>
              <w:rPr>
                <w:rFonts w:hint="eastAsia"/>
              </w:rPr>
              <w:t>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 xml:space="preserve">重视顾客反馈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widowControl/>
              <w:spacing w:before="40"/>
              <w:jc w:val="left"/>
              <w:rPr>
                <w:u w:val="single"/>
              </w:rPr>
            </w:pPr>
            <w:r>
              <w:rPr>
                <w:rFonts w:hint="eastAsia"/>
              </w:rPr>
              <w:t>最高管理者制定了文件化的管理体系方针：</w:t>
            </w:r>
            <w:r>
              <w:rPr>
                <w:rFonts w:hint="eastAsia"/>
                <w:u w:val="single"/>
              </w:rPr>
              <w:t xml:space="preserve"> 品质第一，客户至上，持续改进，精益求精，勤裕未来</w:t>
            </w:r>
            <w:r>
              <w:rPr>
                <w:rFonts w:hint="eastAsia"/>
                <w:u w:val="single"/>
                <w:lang w:eastAsia="zh-CN"/>
              </w:rPr>
              <w:t>。</w:t>
            </w:r>
            <w:r>
              <w:rPr>
                <w:rFonts w:hint="eastAsia"/>
                <w:u w:val="single"/>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p>
          <w:p>
            <w:pPr>
              <w:shd w:val="clear" w:color="auto" w:fill="C7DAF1" w:themeFill="text2" w:themeFillTint="32"/>
              <w:rPr>
                <w:rFonts w:hint="default" w:eastAsia="宋体"/>
                <w:lang w:val="en-US" w:eastAsia="zh-CN"/>
              </w:rPr>
            </w:pPr>
            <w:r>
              <w:rPr>
                <w:rFonts w:hint="eastAsia" w:eastAsia="宋体"/>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公司目前主要产品市场占有率和领先优势比较明显，但是竟争对手正在模仿公司的发 展方式，影响公司的领先优势</w:t>
                  </w:r>
                </w:p>
              </w:tc>
              <w:tc>
                <w:tcPr>
                  <w:tcW w:w="3965" w:type="dxa"/>
                </w:tcPr>
                <w:p>
                  <w:pPr>
                    <w:shd w:val="clear" w:color="auto" w:fill="C7DAF1" w:themeFill="text2" w:themeFillTint="32"/>
                  </w:pPr>
                  <w:r>
                    <w:rPr>
                      <w:rFonts w:hint="eastAsia"/>
                    </w:rPr>
                    <w:t xml:space="preserve">及时关注公司产品市场的 情况，收集信息及时调整， 保持公司产品的竟争力 </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公司对国家相关的法律法规是否充分 收集评估，并转化为公司制度执行，符合新 法规要求</w:t>
                  </w:r>
                </w:p>
              </w:tc>
              <w:tc>
                <w:tcPr>
                  <w:tcW w:w="3965" w:type="dxa"/>
                </w:tcPr>
                <w:p>
                  <w:pPr>
                    <w:shd w:val="clear" w:color="auto" w:fill="C7DAF1" w:themeFill="text2" w:themeFillTint="32"/>
                  </w:pPr>
                  <w:r>
                    <w:rPr>
                      <w:rFonts w:hint="eastAsia"/>
                    </w:rPr>
                    <w:t>主要职能部门按照要求加 强相关产品质里及环境安全 法律法规的收集评价；综合部加大市场 开拓、定期进行合规性评价</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jc w:val="left"/>
                    <w:rPr>
                      <w:rFonts w:hint="default" w:eastAsia="宋体"/>
                      <w:lang w:val="en-US" w:eastAsia="zh-CN"/>
                    </w:rPr>
                  </w:pPr>
                  <w:r>
                    <w:rPr>
                      <w:rFonts w:hint="eastAsia"/>
                    </w:rPr>
                    <w:t>生产产品出厂合格率100%</w:t>
                  </w:r>
                </w:p>
              </w:tc>
              <w:tc>
                <w:tcPr>
                  <w:tcW w:w="3136" w:type="dxa"/>
                  <w:shd w:val="clear" w:color="auto" w:fill="auto"/>
                  <w:vAlign w:val="center"/>
                </w:tcPr>
                <w:p>
                  <w:pPr>
                    <w:shd w:val="clear" w:color="auto" w:fill="C7DAF1" w:themeFill="text2" w:themeFillTint="32"/>
                    <w:jc w:val="left"/>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出厂产品合格数/产品总数*100%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生产部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autoSpaceDE w:val="0"/>
                    <w:autoSpaceDN w:val="0"/>
                    <w:adjustRightInd w:val="0"/>
                    <w:jc w:val="left"/>
                    <w:rPr>
                      <w:rFonts w:hint="eastAsia"/>
                    </w:rPr>
                  </w:pPr>
                  <w:r>
                    <w:rPr>
                      <w:rFonts w:hint="eastAsia"/>
                    </w:rPr>
                    <w:t>顾客满意率≥96%</w:t>
                  </w:r>
                </w:p>
                <w:p>
                  <w:pPr>
                    <w:pStyle w:val="2"/>
                    <w:rPr>
                      <w:rFonts w:hint="default"/>
                      <w:lang w:val="en-US" w:eastAsia="zh-CN"/>
                    </w:rPr>
                  </w:pPr>
                </w:p>
              </w:tc>
              <w:tc>
                <w:tcPr>
                  <w:tcW w:w="3136" w:type="dxa"/>
                  <w:shd w:val="clear" w:color="auto" w:fill="auto"/>
                  <w:vAlign w:val="center"/>
                </w:tcPr>
                <w:p>
                  <w:pPr>
                    <w:shd w:val="clear" w:color="auto" w:fill="C7DAF1" w:themeFill="text2" w:themeFillTint="32"/>
                    <w:jc w:val="left"/>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满意度调查分数/总分数*100%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综合部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rPr>
                  </w:pPr>
                  <w:r>
                    <w:rPr>
                      <w:rFonts w:hint="eastAsia"/>
                    </w:rPr>
                    <w:t>生产产品一次检验通过率 ≥99%</w:t>
                  </w:r>
                </w:p>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r>
                    <w:rPr>
                      <w:rFonts w:hint="eastAsia"/>
                    </w:rPr>
                    <w:t>检验产品数量/总产品数量*100%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生产部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cs="宋体"/>
                <w:color w:val="auto"/>
                <w:sz w:val="21"/>
                <w:szCs w:val="21"/>
                <w:lang w:val="en-US" w:eastAsia="zh-CN"/>
              </w:rPr>
              <w:t>约400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1</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普通数控车床、台式钻床、压装机、圈带平衡机（列举2~4种）</w:t>
            </w:r>
          </w:p>
          <w:p>
            <w:pPr>
              <w:shd w:val="clear" w:color="auto" w:fill="C7DAF1" w:themeFill="text2" w:themeFillTint="32"/>
            </w:pPr>
            <w:r>
              <w:rPr>
                <w:rFonts w:hint="eastAsia"/>
              </w:rPr>
              <w:t xml:space="preserve">特种设备：叉车 ■行车 锅炉 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C7DAF1" w:themeFill="text2" w:themeFillTint="32"/>
              <w:rPr>
                <w:u w:val="single"/>
              </w:rPr>
            </w:pPr>
            <w:r>
              <w:rPr>
                <w:rFonts w:hint="eastAsia"/>
              </w:rPr>
              <w:t xml:space="preserve">特种设备管理：进行了定期检验  ■未进行定期检验的有： </w:t>
            </w:r>
            <w:r>
              <w:rPr>
                <w:rFonts w:hint="eastAsia"/>
                <w:u w:val="single"/>
              </w:rPr>
              <w:t xml:space="preserve"> </w:t>
            </w:r>
            <w:r>
              <w:rPr>
                <w:rFonts w:hint="eastAsia"/>
                <w:u w:val="single"/>
                <w:lang w:val="en-US" w:eastAsia="zh-CN"/>
              </w:rPr>
              <w:t>无需检验</w:t>
            </w:r>
            <w:r>
              <w:rPr>
                <w:rFonts w:hint="eastAsia"/>
                <w:u w:val="single"/>
              </w:rPr>
              <w:t xml:space="preserve">           </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■外校 </w:t>
            </w:r>
          </w:p>
          <w:p>
            <w:pPr>
              <w:shd w:val="clear" w:color="auto" w:fill="C7DAF1" w:themeFill="text2" w:themeFillTint="32"/>
              <w:rPr>
                <w:u w:val="single"/>
              </w:rPr>
            </w:pPr>
            <w:r>
              <w:rPr>
                <w:rFonts w:hint="eastAsia"/>
              </w:rPr>
              <w:t>国家强检的计量器具有：</w:t>
            </w:r>
            <w:r>
              <w:rPr>
                <w:rFonts w:hint="eastAsia"/>
                <w:u w:val="single"/>
              </w:rPr>
              <w:t xml:space="preserve"> 电机定子检测系统、数字钳形表、转速计、噪音器（列举1~4种）</w:t>
            </w:r>
          </w:p>
          <w:p>
            <w:pPr>
              <w:shd w:val="clear" w:color="auto" w:fill="C7DAF1" w:themeFill="text2" w:themeFillTint="32"/>
              <w:rPr>
                <w:u w:val="single"/>
              </w:rPr>
            </w:pPr>
            <w:r>
              <w:rPr>
                <w:rFonts w:hint="eastAsia"/>
              </w:rPr>
              <w:t>计量器具管理： ■进行了定期校准/检定未进行定期校准/检定的有：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16"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内部知识:■加工工艺 ■生产经验  ■管理软件  ■市场预测   ■企业标准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■顾客提供资料 ■产品标准  学术交流信息  ■专业会议信息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■换岗  ■培训  ■考核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 xml:space="preserve">特种作业人员：电工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■标语  ■培训  </w:t>
            </w:r>
            <w:r>
              <w:rPr>
                <w:rFonts w:hint="eastAsia" w:ascii="Wingdings" w:hAnsi="Wingdings"/>
              </w:rPr>
              <w:t>¨</w:t>
            </w:r>
            <w:r>
              <w:rPr>
                <w:rFonts w:hint="eastAsia"/>
              </w:rPr>
              <w:t xml:space="preserve">看板   ■局域网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 ■会议  ■标语  ■展板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■网站  ■标语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 ■作业文件  ■检测计划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■企业标准  ■顾客要求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w:t>
            </w:r>
            <w:r>
              <w:rPr>
                <w:rFonts w:hint="eastAsia" w:ascii="Wingdings" w:hAnsi="Wingdings"/>
              </w:rPr>
              <w:t>¨</w:t>
            </w:r>
            <w:r>
              <w:rPr>
                <w:rFonts w:hint="eastAsia"/>
              </w:rPr>
              <w:t xml:space="preserve">委托加工  ■顾客要求 运输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提供给外部供方的信息■符合要求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rPr>
                <w:rFonts w:hint="eastAsia" w:ascii="Times New Roman" w:hAnsi="Times New Roman" w:eastAsia="宋体" w:cs="Times New Roman"/>
              </w:rPr>
            </w:pPr>
            <w:r>
              <w:rPr>
                <w:rFonts w:hint="eastAsia" w:ascii="Times New Roman" w:hAnsi="Times New Roman" w:eastAsia="宋体" w:cs="Times New Roman"/>
              </w:rPr>
              <w:t>组织的生产和服务提供流程图（见第三条款），</w:t>
            </w:r>
          </w:p>
          <w:p>
            <w:pPr>
              <w:shd w:val="clear" w:color="auto" w:fill="C7DAF1" w:themeFill="text2" w:themeFillTint="32"/>
              <w:jc w:val="left"/>
            </w:pPr>
            <w:r>
              <w:rPr>
                <w:rFonts w:hint="eastAsia" w:ascii="Times New Roman" w:hAnsi="Times New Roman" w:eastAsia="宋体" w:cs="Times New Roman"/>
              </w:rPr>
              <w:t>认证范围内每种产品/服务流程的关键过程及</w:t>
            </w:r>
            <w:r>
              <w:rPr>
                <w:rFonts w:hint="eastAsia"/>
              </w:rPr>
              <w:t>控制参数：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eastAsia="宋体"/>
                      <w:lang w:val="en-US" w:eastAsia="zh-CN"/>
                    </w:rPr>
                    <w:t>三项异步电机</w:t>
                  </w:r>
                </w:p>
              </w:tc>
              <w:tc>
                <w:tcPr>
                  <w:tcW w:w="3665" w:type="dxa"/>
                </w:tcPr>
                <w:p>
                  <w:pPr>
                    <w:shd w:val="clear" w:color="auto" w:fill="C7DAF1" w:themeFill="text2" w:themeFillTint="32"/>
                    <w:jc w:val="left"/>
                    <w:rPr>
                      <w:rFonts w:hint="default" w:eastAsia="宋体"/>
                      <w:lang w:val="en-US" w:eastAsia="zh-CN"/>
                    </w:rPr>
                  </w:pPr>
                  <w:r>
                    <w:rPr>
                      <w:rFonts w:hint="eastAsia" w:eastAsia="宋体"/>
                      <w:lang w:val="en-US" w:eastAsia="zh-CN"/>
                    </w:rPr>
                    <w:t>组装</w:t>
                  </w:r>
                </w:p>
              </w:tc>
              <w:tc>
                <w:tcPr>
                  <w:tcW w:w="3265" w:type="dxa"/>
                </w:tcPr>
                <w:p>
                  <w:pPr>
                    <w:shd w:val="clear" w:color="auto" w:fill="C7DAF1" w:themeFill="text2" w:themeFillTint="32"/>
                    <w:ind w:firstLine="210" w:firstLineChars="100"/>
                    <w:jc w:val="left"/>
                    <w:rPr>
                      <w:rFonts w:hint="default" w:eastAsia="宋体"/>
                      <w:lang w:val="en-US" w:eastAsia="zh-CN"/>
                    </w:rPr>
                  </w:pPr>
                  <w:r>
                    <w:rPr>
                      <w:rFonts w:hint="eastAsia"/>
                      <w:lang w:val="en-US" w:eastAsia="zh-CN"/>
                    </w:rPr>
                    <w:t>外观、转速、质量符合要求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rPr>
                      <w:rFonts w:hint="default" w:eastAsia="宋体"/>
                      <w:lang w:val="en-US" w:eastAsia="zh-CN"/>
                    </w:rPr>
                  </w:pPr>
                </w:p>
              </w:tc>
              <w:tc>
                <w:tcPr>
                  <w:tcW w:w="3665" w:type="dxa"/>
                  <w:vAlign w:val="top"/>
                </w:tcPr>
                <w:p>
                  <w:pPr>
                    <w:shd w:val="clear" w:color="auto" w:fill="C7DAF1" w:themeFill="text2" w:themeFillTint="32"/>
                    <w:jc w:val="left"/>
                    <w:rPr>
                      <w:rFonts w:hint="default" w:eastAsia="宋体"/>
                      <w:lang w:val="en-US" w:eastAsia="zh-CN"/>
                    </w:rPr>
                  </w:pPr>
                </w:p>
              </w:tc>
              <w:tc>
                <w:tcPr>
                  <w:tcW w:w="3265" w:type="dxa"/>
                  <w:vAlign w:val="top"/>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2" w:type="dxa"/>
                </w:tcPr>
                <w:p>
                  <w:pPr>
                    <w:shd w:val="clear" w:color="auto" w:fill="C7DAF1" w:themeFill="text2" w:themeFillTint="32"/>
                    <w:jc w:val="left"/>
                    <w:rPr>
                      <w:rFonts w:hint="default"/>
                      <w:lang w:val="en-US"/>
                    </w:rPr>
                  </w:pPr>
                </w:p>
              </w:tc>
              <w:tc>
                <w:tcPr>
                  <w:tcW w:w="3665" w:type="dxa"/>
                  <w:vAlign w:val="top"/>
                </w:tcPr>
                <w:p>
                  <w:pPr>
                    <w:shd w:val="clear" w:color="auto" w:fill="C7DAF1" w:themeFill="text2" w:themeFillTint="32"/>
                    <w:jc w:val="left"/>
                    <w:rPr>
                      <w:rFonts w:hint="eastAsia" w:eastAsia="宋体"/>
                      <w:lang w:val="en-US" w:eastAsia="zh-CN"/>
                    </w:rPr>
                  </w:pPr>
                </w:p>
              </w:tc>
              <w:tc>
                <w:tcPr>
                  <w:tcW w:w="3265" w:type="dxa"/>
                  <w:vAlign w:val="top"/>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szCs w:val="21"/>
                      <w:lang w:val="en-US" w:eastAsia="zh-CN"/>
                    </w:rPr>
                  </w:pPr>
                </w:p>
              </w:tc>
              <w:tc>
                <w:tcPr>
                  <w:tcW w:w="3665" w:type="dxa"/>
                </w:tcPr>
                <w:p>
                  <w:pPr>
                    <w:shd w:val="clear" w:color="auto" w:fill="C7DAF1" w:themeFill="text2" w:themeFillTint="32"/>
                    <w:jc w:val="left"/>
                    <w:rPr>
                      <w:rFonts w:hint="default" w:eastAsia="宋体"/>
                      <w:lang w:val="en-US" w:eastAsia="zh-CN"/>
                    </w:rPr>
                  </w:pP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组装、喷漆</w:t>
            </w:r>
            <w:r>
              <w:rPr>
                <w:rFonts w:hint="eastAsia"/>
                <w:u w:val="single"/>
              </w:rPr>
              <w:t xml:space="preserve">                              </w:t>
            </w:r>
            <w:r>
              <w:rPr>
                <w:rFonts w:hint="eastAsia"/>
              </w:rPr>
              <w:t xml:space="preserve"> ，</w:t>
            </w:r>
          </w:p>
          <w:p>
            <w:pPr>
              <w:shd w:val="clear" w:color="auto" w:fill="C7DAF1" w:themeFill="text2" w:themeFillTint="32"/>
              <w:jc w:val="left"/>
            </w:pP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 xml:space="preserve">对生产和服务提供过程的控制■符合要求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 xml:space="preserve">采用的标识方式：标签 ■标牌 ■区域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可追溯性实现：■符合要求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rPr>
              <w:t xml:space="preserve">■原材料 ■设备 </w:t>
            </w:r>
            <w:r>
              <w:rPr>
                <w:rFonts w:hint="eastAsia" w:ascii="Wingdings" w:hAnsi="Wingdings"/>
              </w:rPr>
              <w:t>¨</w:t>
            </w:r>
            <w:r>
              <w:rPr>
                <w:rFonts w:hint="eastAsia"/>
              </w:rPr>
              <w:t xml:space="preserve">检测设备 ■图纸 </w:t>
            </w:r>
            <w:r>
              <w:rPr>
                <w:rFonts w:hint="eastAsia" w:ascii="Wingdings" w:hAnsi="Wingdings"/>
              </w:rPr>
              <w:t>¨</w:t>
            </w:r>
            <w:r>
              <w:rPr>
                <w:rFonts w:hint="eastAsia"/>
              </w:rPr>
              <w:t xml:space="preserve">配方 </w:t>
            </w: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顾客或外部供方财产控制：■符合要求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■维修 ■赔偿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 xml:space="preserve">变更控制：符合要求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■首件检验 ■过程检验 ■最终检验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 xml:space="preserve">产品检验/服务放行：■符合要求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 ■顾客对交付产品或服务的反馈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lang w:val="en-US" w:eastAsia="zh-CN"/>
              </w:rPr>
              <w:t>25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rPr>
              <w:t xml:space="preserve">■内审不符合项   ■外审不符合项  ■管理评审   ■目标统计分析结果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pStyle w:val="11"/>
      </w:pPr>
    </w:p>
    <w:p>
      <w:pPr>
        <w:pStyle w:val="11"/>
      </w:pPr>
    </w:p>
    <w:p>
      <w:pPr>
        <w:pStyle w:val="11"/>
      </w:pPr>
    </w:p>
    <w:p>
      <w:pPr>
        <w:rPr>
          <w:shd w:val="clear" w:color="FFFFFF" w:fill="D9D9D9"/>
        </w:rPr>
      </w:pPr>
      <w:r>
        <w:rPr>
          <w:shd w:val="clear" w:color="FFFFFF" w:fill="D9D9D9"/>
        </w:rPr>
        <w:t>附件ISO 9001:2015 (若不是ISO 9001:2015审核请删除)</w:t>
      </w:r>
    </w:p>
    <w:p>
      <w:pPr>
        <w:shd w:val="clear" w:color="auto" w:fill="C7DAF1" w:themeFill="text2" w:themeFillTint="32"/>
      </w:pPr>
    </w:p>
    <w:tbl>
      <w:tblPr>
        <w:tblStyle w:val="7"/>
        <w:tblW w:w="103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5"/>
        <w:gridCol w:w="655"/>
        <w:gridCol w:w="657"/>
        <w:gridCol w:w="657"/>
        <w:gridCol w:w="656"/>
        <w:gridCol w:w="657"/>
        <w:gridCol w:w="657"/>
        <w:gridCol w:w="656"/>
        <w:gridCol w:w="657"/>
        <w:gridCol w:w="657"/>
        <w:gridCol w:w="656"/>
        <w:gridCol w:w="657"/>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eastAsia="宋体"/>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bookmarkStart w:id="33" w:name="_GoBack"/>
      <w:bookmarkEnd w:id="33"/>
    </w:p>
    <w:p>
      <w:pPr>
        <w:shd w:val="clear" w:color="auto" w:fill="C7DAF1" w:themeFill="text2" w:themeFillTint="32"/>
      </w:pPr>
      <w:r>
        <w:tab/>
      </w:r>
      <w:r>
        <w:tab/>
      </w:r>
      <w:r>
        <w:t xml:space="preserve">3 =失效/不符合(参见不符合报告)  </w:t>
      </w:r>
    </w:p>
    <w:p>
      <w:pPr>
        <w:shd w:val="clear" w:color="auto" w:fill="C7DAF1" w:themeFill="text2" w:themeFillTint="32"/>
        <w:rPr>
          <w:rFonts w:eastAsia="微软雅黑"/>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I4NjI5OTBmMDM1ODFlMDkzNDFlZTFiMWNhZWU5ZTMifQ=="/>
  </w:docVars>
  <w:rsids>
    <w:rsidRoot w:val="00000000"/>
    <w:rsid w:val="03707E2A"/>
    <w:rsid w:val="066F2B6D"/>
    <w:rsid w:val="0CAF61E6"/>
    <w:rsid w:val="0CC12E37"/>
    <w:rsid w:val="17D120A1"/>
    <w:rsid w:val="3B22771F"/>
    <w:rsid w:val="7F7A43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paragraph" w:styleId="12">
    <w:name w:val="List Paragraph"/>
    <w:basedOn w:val="1"/>
    <w:qFormat/>
    <w:uiPriority w:val="34"/>
    <w:pPr>
      <w:ind w:firstLine="420" w:firstLineChars="200"/>
    </w:pPr>
  </w:style>
  <w:style w:type="character" w:customStyle="1" w:styleId="13">
    <w:name w:val="页眉 Char1"/>
    <w:basedOn w:val="9"/>
    <w:link w:val="2"/>
    <w:qFormat/>
    <w:uiPriority w:val="99"/>
    <w:rPr>
      <w:rFonts w:ascii="Times New Roman" w:hAnsi="Times New Roman" w:eastAsia="宋体" w:cs="Times New Roman"/>
      <w:sz w:val="18"/>
      <w:szCs w:val="18"/>
    </w:rPr>
  </w:style>
  <w:style w:type="character" w:customStyle="1" w:styleId="14">
    <w:name w:val="页脚 Char"/>
    <w:basedOn w:val="9"/>
    <w:link w:val="4"/>
    <w:qFormat/>
    <w:uiPriority w:val="99"/>
    <w:rPr>
      <w:rFonts w:ascii="Times New Roman" w:hAnsi="Times New Roman" w:eastAsia="宋体" w:cs="Times New Roman"/>
      <w:sz w:val="18"/>
      <w:szCs w:val="18"/>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企业咨询17334292415</cp:lastModifiedBy>
  <cp:lastPrinted>2019-05-13T03:19:00Z</cp:lastPrinted>
  <dcterms:modified xsi:type="dcterms:W3CDTF">2022-06-22T08:07:31Z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