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5259"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936"/>
        <w:gridCol w:w="745"/>
        <w:gridCol w:w="10223"/>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74"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vMerge w:val="restart"/>
            <w:vAlign w:val="center"/>
          </w:tcPr>
          <w:p>
            <w:pPr>
              <w:rPr>
                <w:sz w:val="24"/>
                <w:szCs w:val="24"/>
              </w:rPr>
            </w:pPr>
            <w:r>
              <w:rPr>
                <w:sz w:val="24"/>
                <w:szCs w:val="24"/>
              </w:rPr>
              <w:t>涉及</w:t>
            </w:r>
          </w:p>
          <w:p>
            <w:r>
              <w:rPr>
                <w:sz w:val="24"/>
                <w:szCs w:val="24"/>
              </w:rPr>
              <w:t>条款</w:t>
            </w:r>
          </w:p>
        </w:tc>
        <w:tc>
          <w:tcPr>
            <w:tcW w:w="10968" w:type="dxa"/>
            <w:gridSpan w:val="2"/>
            <w:vAlign w:val="center"/>
          </w:tcPr>
          <w:p>
            <w:pPr>
              <w:rPr>
                <w:sz w:val="24"/>
                <w:szCs w:val="24"/>
              </w:rPr>
            </w:pPr>
            <w:r>
              <w:rPr>
                <w:sz w:val="24"/>
                <w:szCs w:val="24"/>
              </w:rPr>
              <w:t xml:space="preserve">受审核部门：  食品安全小组         </w:t>
            </w:r>
            <w:r>
              <w:rPr>
                <w:color w:val="000000"/>
                <w:sz w:val="24"/>
                <w:szCs w:val="24"/>
              </w:rPr>
              <w:t>主管领导：</w:t>
            </w:r>
            <w:r>
              <w:rPr>
                <w:rFonts w:hint="eastAsia"/>
                <w:color w:val="000000"/>
                <w:sz w:val="24"/>
                <w:szCs w:val="24"/>
              </w:rPr>
              <w:t xml:space="preserve">徐强  </w:t>
            </w:r>
            <w:r>
              <w:rPr>
                <w:color w:val="000000"/>
                <w:sz w:val="24"/>
                <w:szCs w:val="24"/>
              </w:rPr>
              <w:t xml:space="preserve"> 陪同人员：</w:t>
            </w:r>
            <w:r>
              <w:rPr>
                <w:rFonts w:hint="eastAsia"/>
                <w:sz w:val="24"/>
                <w:szCs w:val="24"/>
              </w:rPr>
              <w:t>刘晨</w:t>
            </w:r>
          </w:p>
        </w:tc>
        <w:tc>
          <w:tcPr>
            <w:tcW w:w="1181"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74" w:type="dxa"/>
            <w:vMerge w:val="continue"/>
            <w:vAlign w:val="center"/>
          </w:tcPr>
          <w:p/>
        </w:tc>
        <w:tc>
          <w:tcPr>
            <w:tcW w:w="936" w:type="dxa"/>
            <w:vMerge w:val="continue"/>
            <w:vAlign w:val="center"/>
          </w:tcPr>
          <w:p/>
        </w:tc>
        <w:tc>
          <w:tcPr>
            <w:tcW w:w="10968" w:type="dxa"/>
            <w:gridSpan w:val="2"/>
            <w:vAlign w:val="center"/>
          </w:tcPr>
          <w:p>
            <w:pPr>
              <w:spacing w:before="120"/>
            </w:pPr>
            <w:r>
              <w:rPr>
                <w:sz w:val="24"/>
                <w:szCs w:val="24"/>
              </w:rPr>
              <w:t>审核员：</w:t>
            </w:r>
            <w:r>
              <w:rPr>
                <w:rFonts w:hint="eastAsia"/>
                <w:sz w:val="24"/>
                <w:szCs w:val="24"/>
              </w:rPr>
              <w:t>肖新龙（远程</w:t>
            </w:r>
            <w:r>
              <w:rPr>
                <w:rFonts w:hint="eastAsia"/>
                <w:sz w:val="24"/>
                <w:szCs w:val="24"/>
                <w:lang w:eastAsia="zh-CN"/>
              </w:rPr>
              <w:t>）</w:t>
            </w:r>
            <w:r>
              <w:rPr>
                <w:rFonts w:hint="eastAsia"/>
                <w:sz w:val="24"/>
                <w:szCs w:val="24"/>
              </w:rPr>
              <w:t>：</w:t>
            </w:r>
            <w:r>
              <w:rPr>
                <w:rFonts w:hint="eastAsia"/>
                <w:sz w:val="24"/>
                <w:szCs w:val="24"/>
                <w:lang w:eastAsia="zh-CN"/>
              </w:rPr>
              <w:t>【</w:t>
            </w:r>
            <w:r>
              <w:rPr>
                <w:rFonts w:hint="eastAsia"/>
                <w:sz w:val="24"/>
                <w:szCs w:val="24"/>
                <w:lang w:val="en-US" w:eastAsia="zh-CN"/>
              </w:rPr>
              <w:t>远程审核方式：微信/语音/腾讯会议</w:t>
            </w:r>
            <w:r>
              <w:rPr>
                <w:rFonts w:hint="eastAsia"/>
                <w:sz w:val="24"/>
                <w:szCs w:val="24"/>
                <w:lang w:eastAsia="zh-CN"/>
              </w:rPr>
              <w:t>】</w:t>
            </w:r>
            <w:r>
              <w:rPr>
                <w:sz w:val="24"/>
                <w:szCs w:val="24"/>
              </w:rPr>
              <w:t xml:space="preserve">  </w:t>
            </w:r>
            <w:r>
              <w:rPr>
                <w:rFonts w:hint="eastAsia"/>
                <w:sz w:val="24"/>
                <w:szCs w:val="24"/>
              </w:rPr>
              <w:t xml:space="preserve">   </w:t>
            </w:r>
            <w:r>
              <w:rPr>
                <w:sz w:val="24"/>
                <w:szCs w:val="24"/>
              </w:rPr>
              <w:t xml:space="preserve"> 审核日期：20</w:t>
            </w:r>
            <w:r>
              <w:rPr>
                <w:rFonts w:hint="eastAsia"/>
                <w:sz w:val="24"/>
                <w:szCs w:val="24"/>
              </w:rPr>
              <w:t>22-0</w:t>
            </w:r>
            <w:r>
              <w:rPr>
                <w:sz w:val="24"/>
                <w:szCs w:val="24"/>
              </w:rPr>
              <w:t>7</w:t>
            </w:r>
            <w:r>
              <w:rPr>
                <w:rFonts w:hint="eastAsia"/>
                <w:sz w:val="24"/>
                <w:szCs w:val="24"/>
              </w:rPr>
              <w:t>-</w:t>
            </w:r>
            <w:r>
              <w:rPr>
                <w:sz w:val="24"/>
                <w:szCs w:val="24"/>
              </w:rPr>
              <w:t>04</w:t>
            </w: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74" w:type="dxa"/>
            <w:vMerge w:val="continue"/>
            <w:vAlign w:val="center"/>
          </w:tcPr>
          <w:p/>
        </w:tc>
        <w:tc>
          <w:tcPr>
            <w:tcW w:w="936" w:type="dxa"/>
            <w:vMerge w:val="continue"/>
            <w:vAlign w:val="center"/>
          </w:tcPr>
          <w:p/>
        </w:tc>
        <w:tc>
          <w:tcPr>
            <w:tcW w:w="10968" w:type="dxa"/>
            <w:gridSpan w:val="2"/>
            <w:vAlign w:val="center"/>
          </w:tcPr>
          <w:p>
            <w:pPr>
              <w:tabs>
                <w:tab w:val="left" w:pos="6030"/>
              </w:tabs>
              <w:autoSpaceDE w:val="0"/>
              <w:autoSpaceDN w:val="0"/>
              <w:adjustRightInd w:val="0"/>
              <w:jc w:val="left"/>
            </w:pPr>
            <w:r>
              <w:t>审核条款：FSMS:5.3/7.1.5/8.1/8.2/8.5/8.6/8.8/9.1.2</w:t>
            </w: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74" w:type="dxa"/>
            <w:vMerge w:val="restart"/>
          </w:tcPr>
          <w:p>
            <w:r>
              <w:t>组织的角色、职责和权限</w:t>
            </w:r>
          </w:p>
        </w:tc>
        <w:tc>
          <w:tcPr>
            <w:tcW w:w="936" w:type="dxa"/>
            <w:vMerge w:val="restart"/>
          </w:tcPr>
          <w:p>
            <w:r>
              <w:t>F5.3</w:t>
            </w:r>
          </w:p>
        </w:tc>
        <w:tc>
          <w:tcPr>
            <w:tcW w:w="745" w:type="dxa"/>
          </w:tcPr>
          <w:p>
            <w:r>
              <w:t>文件名称</w:t>
            </w:r>
          </w:p>
        </w:tc>
        <w:tc>
          <w:tcPr>
            <w:tcW w:w="10223" w:type="dxa"/>
          </w:tcPr>
          <w:p>
            <w:r>
              <w:t>如：</w:t>
            </w:r>
            <w:r>
              <w:fldChar w:fldCharType="begin"/>
            </w:r>
            <w:r>
              <w:instrText xml:space="preserve"> eq \o\ac(□</w:instrText>
            </w:r>
            <w:r>
              <w:rPr>
                <w:rFonts w:hint="eastAsia"/>
              </w:rPr>
              <w:instrText xml:space="preserve">,√</w:instrText>
            </w:r>
            <w:r>
              <w:instrText xml:space="preserve">)</w:instrText>
            </w:r>
            <w:r>
              <w:fldChar w:fldCharType="end"/>
            </w:r>
            <w:r>
              <w:t>管理手册第5.3章</w:t>
            </w:r>
          </w:p>
        </w:tc>
        <w:tc>
          <w:tcPr>
            <w:tcW w:w="1181" w:type="dxa"/>
            <w:vMerge w:val="restart"/>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74" w:type="dxa"/>
            <w:vMerge w:val="continue"/>
          </w:tcPr>
          <w:p/>
        </w:tc>
        <w:tc>
          <w:tcPr>
            <w:tcW w:w="936" w:type="dxa"/>
            <w:vMerge w:val="continue"/>
          </w:tcPr>
          <w:p/>
        </w:tc>
        <w:tc>
          <w:tcPr>
            <w:tcW w:w="745" w:type="dxa"/>
          </w:tcPr>
          <w:p>
            <w:r>
              <w:t>运行证据</w:t>
            </w:r>
          </w:p>
        </w:tc>
        <w:tc>
          <w:tcPr>
            <w:tcW w:w="10223" w:type="dxa"/>
          </w:tcPr>
          <w:p>
            <w:r>
              <w:t>有食品安全小组名单，包括了</w:t>
            </w:r>
            <w:r>
              <w:rPr>
                <w:rFonts w:hint="eastAsia"/>
              </w:rPr>
              <w:t xml:space="preserve"> </w:t>
            </w:r>
            <w:r>
              <w:rPr>
                <w:rFonts w:hint="eastAsia"/>
                <w:u w:val="single"/>
              </w:rPr>
              <w:t>总经理、</w:t>
            </w:r>
            <w:r>
              <w:rPr>
                <w:bCs/>
                <w:u w:val="single"/>
              </w:rPr>
              <w:t>综合</w:t>
            </w:r>
            <w:r>
              <w:rPr>
                <w:rFonts w:hint="eastAsia"/>
                <w:bCs/>
                <w:u w:val="single"/>
              </w:rPr>
              <w:t>部</w:t>
            </w:r>
            <w:r>
              <w:rPr>
                <w:bCs/>
                <w:u w:val="single"/>
              </w:rPr>
              <w:t>、</w:t>
            </w:r>
            <w:r>
              <w:rPr>
                <w:rFonts w:hint="eastAsia"/>
                <w:bCs/>
                <w:u w:val="single"/>
              </w:rPr>
              <w:t xml:space="preserve">市场部、品控部 </w:t>
            </w:r>
            <w:r>
              <w:t>的人员</w:t>
            </w:r>
          </w:p>
          <w:p>
            <w: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rFonts w:hint="eastAsia" w:ascii="宋体" w:hAnsi="宋体"/>
                <w:szCs w:val="21"/>
                <w:u w:val="single"/>
              </w:rPr>
              <w:t>刘晨</w:t>
            </w:r>
            <w:r>
              <w:t>，基本清楚。</w:t>
            </w:r>
          </w:p>
          <w:p>
            <w:pPr>
              <w:pStyle w:val="2"/>
              <w:rPr>
                <w:rFonts w:ascii="Times New Roman" w:hAnsi="Times New Roman"/>
              </w:rPr>
            </w:pPr>
          </w:p>
          <w:p>
            <w:r>
              <w:fldChar w:fldCharType="begin"/>
            </w:r>
            <w:r>
              <w:instrText xml:space="preserve"> eq \o\ac(□,√)</w:instrText>
            </w:r>
            <w:r>
              <w:fldChar w:fldCharType="end"/>
            </w:r>
            <w:r>
              <w:rPr>
                <w:rFonts w:hint="eastAsia"/>
              </w:rPr>
              <w:t>食品安全小组</w:t>
            </w:r>
            <w:r>
              <w:t>组长：</w:t>
            </w:r>
            <w:r>
              <w:rPr>
                <w:rFonts w:hint="eastAsia" w:ascii="宋体" w:hAnsi="宋体"/>
                <w:color w:val="0000FF"/>
                <w:szCs w:val="21"/>
                <w:u w:val="single"/>
              </w:rPr>
              <w:t>徐强 先生</w:t>
            </w:r>
            <w:r>
              <w:rPr>
                <w:color w:val="0000FF"/>
                <w:u w:val="single"/>
              </w:rPr>
              <w:t xml:space="preserve">  </w:t>
            </w:r>
            <w:r>
              <w:rPr>
                <w:u w:val="single"/>
              </w:rPr>
              <w:t xml:space="preserve">  </w:t>
            </w:r>
            <w: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74" w:type="dxa"/>
            <w:vMerge w:val="restart"/>
            <w:shd w:val="clear" w:color="auto" w:fill="auto"/>
          </w:tcPr>
          <w:p>
            <w:r>
              <w:t>食品安全管理体系外部建立的要素</w:t>
            </w:r>
          </w:p>
        </w:tc>
        <w:tc>
          <w:tcPr>
            <w:tcW w:w="936" w:type="dxa"/>
            <w:vMerge w:val="restart"/>
            <w:shd w:val="clear" w:color="auto" w:fill="auto"/>
          </w:tcPr>
          <w:p>
            <w:r>
              <w:rPr>
                <w:rFonts w:hint="eastAsia"/>
                <w:color w:val="000000"/>
                <w:szCs w:val="21"/>
              </w:rPr>
              <w:t>F7.1.5</w:t>
            </w:r>
          </w:p>
        </w:tc>
        <w:tc>
          <w:tcPr>
            <w:tcW w:w="745" w:type="dxa"/>
            <w:shd w:val="clear" w:color="auto" w:fill="auto"/>
          </w:tcPr>
          <w:p>
            <w:r>
              <w:rPr>
                <w:rFonts w:hint="eastAsia"/>
              </w:rPr>
              <w:t>文件名称</w:t>
            </w:r>
          </w:p>
        </w:tc>
        <w:tc>
          <w:tcPr>
            <w:tcW w:w="1022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181" w:type="dxa"/>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rPr>
                <w:rFonts w:hint="eastAsia"/>
              </w:rPr>
              <w:t>运行证据</w:t>
            </w:r>
          </w:p>
        </w:tc>
        <w:tc>
          <w:tcPr>
            <w:tcW w:w="10223"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74" w:type="dxa"/>
            <w:vMerge w:val="restart"/>
            <w:shd w:val="clear" w:color="auto" w:fill="auto"/>
          </w:tcPr>
          <w:p>
            <w:r>
              <w:t>运行策划和控制</w:t>
            </w:r>
          </w:p>
        </w:tc>
        <w:tc>
          <w:tcPr>
            <w:tcW w:w="936" w:type="dxa"/>
            <w:vMerge w:val="restart"/>
            <w:shd w:val="clear" w:color="auto" w:fill="auto"/>
          </w:tcPr>
          <w:p>
            <w:r>
              <w:t>F8.1</w:t>
            </w:r>
          </w:p>
        </w:tc>
        <w:tc>
          <w:tcPr>
            <w:tcW w:w="745" w:type="dxa"/>
            <w:shd w:val="clear" w:color="auto" w:fill="auto"/>
          </w:tcPr>
          <w:p>
            <w:r>
              <w:t>文件名称</w:t>
            </w:r>
          </w:p>
        </w:tc>
        <w:tc>
          <w:tcPr>
            <w:tcW w:w="10223" w:type="dxa"/>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w:t>
            </w:r>
            <w:r>
              <w:rPr>
                <w:rFonts w:hint="eastAsia"/>
              </w:rPr>
              <w:t>人力资源管理</w:t>
            </w:r>
            <w:r>
              <w:rPr>
                <w:rFonts w:hint="eastAsia"/>
                <w:lang w:val="en-US" w:eastAsia="zh-CN"/>
              </w:rPr>
              <w:t>控制</w:t>
            </w:r>
            <w:r>
              <w:rPr>
                <w:rFonts w:hint="eastAsia"/>
              </w:rPr>
              <w:t>程序</w:t>
            </w:r>
            <w:r>
              <w:t>》</w:t>
            </w:r>
            <w:r>
              <w:rPr/>
              <w:sym w:font="Wingdings" w:char="00A8"/>
            </w:r>
            <w:r>
              <w:t>《能力和意识控制程序》</w:t>
            </w:r>
          </w:p>
        </w:tc>
        <w:tc>
          <w:tcPr>
            <w:tcW w:w="1181"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组织通过采取下列措施，策划、实施、控制和更新满足要求的安全产品所必需的过程， 并实施风险和机遇分析所确定的措施：</w:t>
            </w:r>
          </w:p>
          <w:p>
            <w:pPr>
              <w:numPr>
                <w:ilvl w:val="0"/>
                <w:numId w:val="1"/>
              </w:numPr>
            </w:pPr>
            <w:r>
              <w:t>为过程建立评价准则：</w:t>
            </w:r>
          </w:p>
          <w:p>
            <w:r>
              <w:t xml:space="preserve">    </w:t>
            </w:r>
            <w:r>
              <w:fldChar w:fldCharType="begin"/>
            </w:r>
            <w:r>
              <w:instrText xml:space="preserve"> eq \o\ac(□,</w:instrText>
            </w:r>
            <w:r>
              <w:rPr>
                <w:position w:val="2"/>
                <w:sz w:val="13"/>
              </w:rPr>
              <w:instrText xml:space="preserve">√</w:instrText>
            </w:r>
            <w:r>
              <w:instrText xml:space="preserve">)</w:instrText>
            </w:r>
            <w:r>
              <w:fldChar w:fldCharType="end"/>
            </w:r>
            <w:r>
              <w:rPr>
                <w:color w:val="000000"/>
                <w:szCs w:val="21"/>
              </w:rPr>
              <w:t xml:space="preserve">前提方案  </w:t>
            </w:r>
            <w:r>
              <w:fldChar w:fldCharType="begin"/>
            </w:r>
            <w:r>
              <w:instrText xml:space="preserve"> eq \o\ac(□,√)</w:instrText>
            </w:r>
            <w:r>
              <w:fldChar w:fldCharType="end"/>
            </w:r>
            <w:r>
              <w:t xml:space="preserve">操作性前提方案  </w:t>
            </w:r>
            <w:r>
              <w:fldChar w:fldCharType="begin"/>
            </w:r>
            <w:r>
              <w:instrText xml:space="preserve"> eq \o\ac(□,√)</w:instrText>
            </w:r>
            <w:r>
              <w:fldChar w:fldCharType="end"/>
            </w:r>
            <w:r>
              <w:t>HACCP</w:t>
            </w:r>
            <w:r>
              <w:rPr>
                <w:rFonts w:hint="eastAsia"/>
              </w:rPr>
              <w:t>计划</w:t>
            </w:r>
            <w:r>
              <w:t xml:space="preserve">   </w:t>
            </w:r>
          </w:p>
          <w:p>
            <w:pPr>
              <w:ind w:firstLine="420" w:firstLineChars="200"/>
            </w:pPr>
            <w:r>
              <w:fldChar w:fldCharType="begin"/>
            </w:r>
            <w:r>
              <w:instrText xml:space="preserve"> eq \o\ac(□,√)</w:instrText>
            </w:r>
            <w:r>
              <w:fldChar w:fldCharType="end"/>
            </w:r>
            <w:r>
              <w:t xml:space="preserve">原材料和接触材料特性描述   </w:t>
            </w:r>
            <w:r>
              <w:fldChar w:fldCharType="begin"/>
            </w:r>
            <w:r>
              <w:instrText xml:space="preserve"> eq \o\ac(□,√)</w:instrText>
            </w:r>
            <w:r>
              <w:fldChar w:fldCharType="end"/>
            </w:r>
            <w:r>
              <w:t>终产品特性描述</w:t>
            </w:r>
          </w:p>
          <w:p>
            <w:pPr>
              <w:numPr>
                <w:ilvl w:val="0"/>
                <w:numId w:val="1"/>
              </w:numPr>
            </w:pPr>
            <w:r>
              <w:t>按照准则实施过程控制；</w:t>
            </w:r>
          </w:p>
          <w:p>
            <w:pPr>
              <w:rPr>
                <w:rFonts w:hint="default" w:eastAsia="宋体"/>
                <w:color w:val="0000FF"/>
                <w:u w:val="single"/>
                <w:lang w:val="en-US" w:eastAsia="zh-CN"/>
              </w:rPr>
            </w:pPr>
            <w:r>
              <w:t xml:space="preserve">  </w:t>
            </w:r>
            <w:r>
              <w:rPr>
                <w:u w:val="single"/>
              </w:rPr>
              <w:t xml:space="preserve"> 见《</w:t>
            </w:r>
            <w:r>
              <w:rPr>
                <w:rFonts w:hint="eastAsia"/>
                <w:u w:val="single"/>
              </w:rPr>
              <w:t>配送车辆温度监控</w:t>
            </w:r>
            <w:r>
              <w:rPr>
                <w:u w:val="single"/>
              </w:rPr>
              <w:t>记录》和《</w:t>
            </w:r>
            <w:r>
              <w:rPr>
                <w:rFonts w:hint="eastAsia"/>
                <w:u w:val="single"/>
              </w:rPr>
              <w:t>每日卫生检查记录表</w:t>
            </w:r>
            <w:r>
              <w:rPr>
                <w:u w:val="single"/>
              </w:rPr>
              <w:t>》</w:t>
            </w:r>
            <w:r>
              <w:rPr>
                <w:rFonts w:hint="eastAsia"/>
                <w:u w:val="single"/>
                <w:lang w:val="en-US" w:eastAsia="zh-CN"/>
              </w:rPr>
              <w:t>等，</w:t>
            </w:r>
            <w:r>
              <w:rPr>
                <w:rFonts w:hint="eastAsia"/>
                <w:color w:val="0000FF"/>
                <w:u w:val="single"/>
                <w:lang w:val="en-US" w:eastAsia="zh-CN"/>
              </w:rPr>
              <w:t>见市场部审核记录</w:t>
            </w:r>
          </w:p>
          <w:p/>
          <w:p>
            <w:r>
              <w:t>组织应控制策划的更改，评审非预期变更的后果，必要时，采取措施消除不利影响。（见8.6）</w:t>
            </w:r>
          </w:p>
          <w:p/>
          <w:p>
            <w:r>
              <w:t>组织的外包过程：</w:t>
            </w:r>
            <w:r>
              <w:rPr>
                <w:u w:val="single"/>
              </w:rPr>
              <w:t xml:space="preserve">  </w:t>
            </w:r>
            <w:r>
              <w:rPr>
                <w:color w:val="0000FF"/>
                <w:u w:val="single"/>
              </w:rPr>
              <w:t xml:space="preserve"> </w:t>
            </w:r>
            <w:r>
              <w:rPr>
                <w:rFonts w:hint="eastAsia"/>
                <w:color w:val="0000FF"/>
                <w:u w:val="single"/>
              </w:rPr>
              <w:t>无</w:t>
            </w:r>
            <w:r>
              <w:rPr>
                <w:color w:val="0000FF"/>
                <w:u w:val="single"/>
              </w:rPr>
              <w:t xml:space="preserve">   </w:t>
            </w:r>
            <w:r>
              <w:rPr>
                <w:u w:val="single"/>
              </w:rPr>
              <w:t xml:space="preserve"> </w:t>
            </w:r>
            <w:r>
              <w:t>。</w:t>
            </w:r>
          </w:p>
          <w:p>
            <w:r>
              <w:rPr>
                <w:rFonts w:hint="eastAsia"/>
              </w:rPr>
              <w:t>若存在外包过程，</w:t>
            </w:r>
            <w:r>
              <w:t>外包过程的控制（见7.1.6）</w:t>
            </w: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74" w:type="dxa"/>
            <w:vMerge w:val="restart"/>
          </w:tcPr>
          <w:p>
            <w:r>
              <w:t>前提方案（PRP）</w:t>
            </w:r>
          </w:p>
        </w:tc>
        <w:tc>
          <w:tcPr>
            <w:tcW w:w="936" w:type="dxa"/>
            <w:vMerge w:val="restart"/>
          </w:tcPr>
          <w:p>
            <w:r>
              <w:t>F8.2</w:t>
            </w:r>
          </w:p>
        </w:tc>
        <w:tc>
          <w:tcPr>
            <w:tcW w:w="745" w:type="dxa"/>
          </w:tcPr>
          <w:p>
            <w:r>
              <w:t>文件名称</w:t>
            </w:r>
          </w:p>
        </w:tc>
        <w:tc>
          <w:tcPr>
            <w:tcW w:w="10223" w:type="dxa"/>
          </w:tcPr>
          <w:p>
            <w:r>
              <w:t>如：</w:t>
            </w:r>
            <w:r>
              <w:fldChar w:fldCharType="begin"/>
            </w:r>
            <w:r>
              <w:instrText xml:space="preserve"> eq \o\ac(□,√)</w:instrText>
            </w:r>
            <w:r>
              <w:fldChar w:fldCharType="end"/>
            </w:r>
            <w:r>
              <w:t>《前提方案》</w:t>
            </w:r>
          </w:p>
        </w:tc>
        <w:tc>
          <w:tcPr>
            <w:tcW w:w="1181" w:type="dxa"/>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4" w:type="dxa"/>
            <w:vMerge w:val="continue"/>
          </w:tcPr>
          <w:p/>
        </w:tc>
        <w:tc>
          <w:tcPr>
            <w:tcW w:w="936" w:type="dxa"/>
            <w:vMerge w:val="continue"/>
          </w:tcPr>
          <w:p/>
        </w:tc>
        <w:tc>
          <w:tcPr>
            <w:tcW w:w="745" w:type="dxa"/>
          </w:tcPr>
          <w:p>
            <w:r>
              <w:t>运行证据</w:t>
            </w:r>
          </w:p>
        </w:tc>
        <w:tc>
          <w:tcPr>
            <w:tcW w:w="10223" w:type="dxa"/>
            <w:shd w:val="clear" w:color="auto" w:fill="auto"/>
          </w:tcPr>
          <w:p>
            <w:r>
              <w:t>组织建立、实施、保持和更新PRP，以便于防止和/或减少产品、产品加工和工作环境中的污染物（包括食品安全危害）。</w:t>
            </w:r>
          </w:p>
          <w:p>
            <w:pPr>
              <w:rPr>
                <w:color w:val="000000"/>
                <w:szCs w:val="21"/>
                <w:u w:val="single"/>
              </w:rPr>
            </w:pPr>
            <w:r>
              <w:t>本企业的前提方案所依据的卫生规范：</w:t>
            </w:r>
            <w:r>
              <w:rPr>
                <w:rFonts w:hint="eastAsia"/>
              </w:rPr>
              <w:t xml:space="preserve"> </w:t>
            </w:r>
            <w:r>
              <w:rPr>
                <w:rFonts w:hint="eastAsia"/>
                <w:color w:val="000000"/>
                <w:szCs w:val="21"/>
                <w:u w:val="single"/>
              </w:rPr>
              <w:t>GB 31621-2014 《食品安全国家标准 食品经营过程卫生规范》</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 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2021 年1月 1 日   </w:t>
            </w:r>
            <w:r>
              <w:rPr>
                <w:rFonts w:hint="eastAsia"/>
                <w:u w:val="single"/>
              </w:rPr>
              <w:t>【审核周期内未发生变化】</w:t>
            </w:r>
            <w:r>
              <w:rPr>
                <w:u w:val="single"/>
              </w:rPr>
              <w:t xml:space="preserve">      </w:t>
            </w:r>
          </w:p>
          <w:p>
            <w:pPr>
              <w:rPr>
                <w:highlight w:val="cyan"/>
              </w:rPr>
            </w:pPr>
          </w:p>
          <w:p>
            <w:r>
              <w:t>8. 2. 3 当选择和（或） 制定前提方案（PRPs） 时， 组织应考虑：</w:t>
            </w:r>
          </w:p>
          <w:p>
            <w:r>
              <w:t xml:space="preserve">1)  ISO/TS 22002系列适用技术规范； </w:t>
            </w:r>
          </w:p>
          <w:p>
            <w:pPr>
              <w:ind w:firstLine="420" w:firstLineChars="200"/>
            </w:pPr>
            <w:r>
              <w:rPr/>
              <w:sym w:font="Wingdings" w:char="00A8"/>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2"/>
              <w:ind w:left="0"/>
              <w:rPr>
                <w:rFonts w:ascii="Times New Roman" w:hAnsi="Times New Roman"/>
                <w:szCs w:val="22"/>
              </w:rPr>
            </w:pPr>
            <w:r>
              <w:rPr>
                <w:rFonts w:ascii="Times New Roman" w:hAnsi="Times New Roman"/>
              </w:rPr>
              <w:sym w:font="Wingdings" w:char="00FE"/>
            </w:r>
            <w:r>
              <w:rPr>
                <w:rFonts w:ascii="Times New Roman" w:hAnsi="Times New Roman"/>
                <w:szCs w:val="22"/>
                <w:lang w:val="en-GB"/>
              </w:rPr>
              <w:t xml:space="preserve">CNCA/CTS 0013-2014（CCAA0021-2014） </w:t>
            </w:r>
            <w:r>
              <w:rPr>
                <w:rFonts w:hint="eastAsia" w:ascii="Times New Roman" w:hAnsi="Times New Roman"/>
                <w:szCs w:val="22"/>
                <w:lang w:val="en-GB"/>
              </w:rPr>
              <w:t>《</w:t>
            </w:r>
            <w:r>
              <w:rPr>
                <w:rFonts w:ascii="Times New Roman" w:hAnsi="Times New Roman"/>
                <w:szCs w:val="22"/>
                <w:lang w:val="en-GB"/>
              </w:rPr>
              <w:t>食品安全管理体系 运输和贮藏企业要求</w:t>
            </w:r>
            <w:r>
              <w:rPr>
                <w:rFonts w:ascii="Times New Roman" w:hAnsi="Times New Roman"/>
                <w:szCs w:val="22"/>
              </w:rPr>
              <w:t xml:space="preserve"> </w:t>
            </w:r>
            <w:r>
              <w:rPr>
                <w:rFonts w:hint="eastAsia" w:ascii="Times New Roman" w:hAnsi="Times New Roman"/>
                <w:szCs w:val="22"/>
                <w:lang w:val="en-GB"/>
              </w:rPr>
              <w:t>》</w:t>
            </w:r>
            <w:r>
              <w:rPr>
                <w:rFonts w:ascii="Times New Roman" w:hAnsi="Times New Roman"/>
                <w:szCs w:val="22"/>
              </w:rPr>
              <w:t xml:space="preserve"> </w:t>
            </w:r>
          </w:p>
          <w:p>
            <w:pPr>
              <w:pStyle w:val="2"/>
            </w:pPr>
          </w:p>
          <w:p>
            <w:r>
              <w:t>2）立法/执法要求和顾客要求；</w:t>
            </w:r>
          </w:p>
          <w:p>
            <w:pPr>
              <w:ind w:firstLine="420" w:firstLineChars="200"/>
            </w:pPr>
            <w:r>
              <w:rPr/>
              <w:sym w:font="Wingdings" w:char="00FE"/>
            </w:r>
            <w:r>
              <w:t>立法执法要求：满足相关法律法规要求</w:t>
            </w:r>
          </w:p>
          <w:p>
            <w:pPr>
              <w:ind w:firstLine="420" w:firstLineChars="200"/>
              <w:rPr>
                <w:u w:val="single"/>
              </w:rPr>
            </w:pPr>
            <w:r>
              <w:rPr/>
              <w:sym w:font="Wingdings" w:char="00FE"/>
            </w:r>
            <w:r>
              <w:t>顾客要求：</w:t>
            </w:r>
            <w:r>
              <w:rPr>
                <w:rFonts w:hint="eastAsia"/>
                <w:u w:val="single"/>
              </w:rPr>
              <w:t>产品外观完好、无破损、运输车辆干净卫生、配送及时、售后服务及时</w:t>
            </w:r>
          </w:p>
          <w:p>
            <w:r>
              <w:t>3）适用法典和指南。</w:t>
            </w:r>
          </w:p>
          <w:p>
            <w:pPr>
              <w:rPr>
                <w:highlight w:val="cyan"/>
              </w:rPr>
            </w:pPr>
            <w:r>
              <w:t xml:space="preserve">  无</w:t>
            </w: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4" w:type="dxa"/>
            <w:vMerge w:val="restart"/>
            <w:shd w:val="clear" w:color="auto" w:fill="auto"/>
          </w:tcPr>
          <w:p>
            <w:r>
              <w:t>实施危害分析的预备步骤</w:t>
            </w:r>
          </w:p>
        </w:tc>
        <w:tc>
          <w:tcPr>
            <w:tcW w:w="936" w:type="dxa"/>
            <w:vMerge w:val="restart"/>
            <w:shd w:val="clear" w:color="auto" w:fill="auto"/>
          </w:tcPr>
          <w:p>
            <w:r>
              <w:t>F8.5.1</w:t>
            </w:r>
          </w:p>
          <w:p/>
        </w:tc>
        <w:tc>
          <w:tcPr>
            <w:tcW w:w="745" w:type="dxa"/>
            <w:shd w:val="clear" w:color="auto" w:fill="auto"/>
          </w:tcPr>
          <w:p>
            <w:r>
              <w:t>文件名称</w:t>
            </w:r>
          </w:p>
        </w:tc>
        <w:tc>
          <w:tcPr>
            <w:tcW w:w="10223" w:type="dxa"/>
            <w:shd w:val="clear" w:color="auto" w:fill="auto"/>
          </w:tcPr>
          <w:p>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r>
              <w:fldChar w:fldCharType="begin"/>
            </w:r>
            <w:r>
              <w:instrText xml:space="preserve"> eq \o\ac(□,√)</w:instrText>
            </w:r>
            <w:r>
              <w:fldChar w:fldCharType="end"/>
            </w:r>
            <w:r>
              <w:rPr>
                <w:rFonts w:hint="eastAsia"/>
              </w:rPr>
              <w:t>手册8.5条款</w:t>
            </w:r>
          </w:p>
        </w:tc>
        <w:tc>
          <w:tcPr>
            <w:tcW w:w="1181"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u w:val="single"/>
              </w:rPr>
            </w:pPr>
            <w:r>
              <w:t>原材料：</w:t>
            </w:r>
            <w:r>
              <w:rPr>
                <w:u w:val="single"/>
              </w:rPr>
              <w:t xml:space="preserve">   </w:t>
            </w:r>
            <w:r>
              <w:rPr>
                <w:rFonts w:hint="eastAsia"/>
                <w:u w:val="single"/>
              </w:rPr>
              <w:t>粮油类、面类、油脂、粮食制品、调味料、非发酵豆制品、</w:t>
            </w:r>
            <w:r>
              <w:rPr>
                <w:u w:val="single"/>
              </w:rPr>
              <w:t>禽畜</w:t>
            </w:r>
            <w:r>
              <w:rPr>
                <w:rFonts w:hint="eastAsia"/>
                <w:u w:val="single"/>
              </w:rPr>
              <w:t>肉类（冻品）、水产（冻品）等</w:t>
            </w:r>
          </w:p>
          <w:p>
            <w:pPr>
              <w:rPr>
                <w:u w:val="single"/>
              </w:rPr>
            </w:pPr>
            <w:r>
              <w:t>食品添加剂：</w:t>
            </w:r>
            <w:r>
              <w:rPr>
                <w:u w:val="single"/>
              </w:rPr>
              <w:t xml:space="preserve">        无  </w:t>
            </w:r>
          </w:p>
          <w:p>
            <w:pPr>
              <w:rPr>
                <w:u w:val="single"/>
              </w:rPr>
            </w:pPr>
            <w:r>
              <w:t>辅助材料：</w:t>
            </w:r>
            <w:r>
              <w:rPr>
                <w:u w:val="single"/>
              </w:rPr>
              <w:t xml:space="preserve">      无      </w:t>
            </w:r>
          </w:p>
          <w:p>
            <w:pPr>
              <w:rPr>
                <w:u w:val="single"/>
              </w:rPr>
            </w:pPr>
            <w:r>
              <w:t>包装材料：</w:t>
            </w:r>
            <w:r>
              <w:rPr>
                <w:u w:val="single"/>
              </w:rPr>
              <w:t xml:space="preserve">   </w:t>
            </w:r>
            <w:r>
              <w:rPr>
                <w:rFonts w:hint="eastAsia"/>
                <w:u w:val="single"/>
              </w:rPr>
              <w:t>盛放食品的器具</w:t>
            </w:r>
            <w:r>
              <w:rPr>
                <w:u w:val="single"/>
              </w:rPr>
              <w:t xml:space="preserve">      </w:t>
            </w: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u w:val="single"/>
              </w:rPr>
            </w:pPr>
            <w:r>
              <w:rPr>
                <w:b/>
                <w:lang w:val="en-GB"/>
              </w:rPr>
              <w:t>最终产品《特性</w:t>
            </w:r>
            <w:r>
              <w:rPr>
                <w:b/>
              </w:rPr>
              <w:t>描述</w:t>
            </w:r>
            <w:r>
              <w:rPr>
                <w:b/>
                <w:lang w:val="en-GB"/>
              </w:rPr>
              <w:t>》</w:t>
            </w:r>
            <w:r>
              <w:rPr>
                <w:b/>
              </w:rPr>
              <w:t>：</w:t>
            </w:r>
            <w:r>
              <w:rPr>
                <w:rFonts w:hint="eastAsia"/>
                <w:u w:val="single"/>
              </w:rPr>
              <w:t>因销售的特殊性，最终产品与采购涉及的原辅料一致，因此描述与原辅料一致</w:t>
            </w: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bookmarkStart w:id="0" w:name="_GoBack"/>
            <w:r>
              <w:rPr>
                <w:rFonts w:hint="eastAsia"/>
                <w:u w:val="single"/>
              </w:rPr>
              <w:t>企事业单位、学校食堂等单位食</w:t>
            </w:r>
            <w:r>
              <w:rPr>
                <w:u w:val="single"/>
              </w:rPr>
              <w:t>堂</w:t>
            </w:r>
            <w:r>
              <w:rPr>
                <w:rFonts w:hint="eastAsia"/>
                <w:u w:val="single"/>
              </w:rPr>
              <w:t>餐饮</w:t>
            </w:r>
            <w:r>
              <w:rPr>
                <w:u w:val="single"/>
              </w:rPr>
              <w:t>食材</w:t>
            </w:r>
            <w:bookmarkEnd w:id="0"/>
            <w:r>
              <w:rPr>
                <w:u w:val="single"/>
              </w:rPr>
              <w:t xml:space="preserve">   </w:t>
            </w:r>
          </w:p>
          <w:p/>
          <w:p>
            <w:r>
              <w:t>确定已知特别容易受到特定食品安全危害易感的消费群体/使用者：</w:t>
            </w:r>
          </w:p>
          <w:p>
            <w:r>
              <w:rPr/>
              <w:sym w:font="Wingdings" w:char="00A8"/>
            </w:r>
            <w:r>
              <w:t xml:space="preserve">婴幼儿 </w:t>
            </w:r>
            <w:r>
              <w:rPr/>
              <w:sym w:font="Wingdings" w:char="00A8"/>
            </w:r>
            <w:r>
              <w:t xml:space="preserve">老人  </w:t>
            </w:r>
            <w:r>
              <w:rPr/>
              <w:sym w:font="Wingdings" w:char="00A8"/>
            </w:r>
            <w:r>
              <w:t xml:space="preserve">病人  </w:t>
            </w:r>
            <w:r>
              <w:rPr/>
              <w:sym w:font="Wingdings" w:char="00A8"/>
            </w:r>
            <w:r>
              <w:t xml:space="preserve">易过敏者 </w:t>
            </w:r>
            <w:r>
              <w:rPr/>
              <w:sym w:font="Wingdings" w:char="00FE"/>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w:t>
            </w:r>
            <w:r>
              <w:rPr>
                <w:rFonts w:hint="eastAsia"/>
              </w:rPr>
              <w:t>（不涉及）</w:t>
            </w:r>
            <w:r>
              <w:t>、包装材料、公用工程和中间产品投入点；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lang w:val="en-GB"/>
              </w:rPr>
            </w:pPr>
            <w:r>
              <w:rPr>
                <w:lang w:val="en-GB"/>
              </w:rPr>
              <w:t>HACCP小组</w:t>
            </w:r>
            <w:r>
              <w:t>于</w:t>
            </w:r>
            <w:r>
              <w:rPr>
                <w:color w:val="0000FF"/>
                <w:szCs w:val="21"/>
                <w:u w:val="single"/>
              </w:rPr>
              <w:t xml:space="preserve">   2021 </w:t>
            </w:r>
            <w:r>
              <w:rPr>
                <w:color w:val="0000FF"/>
                <w:szCs w:val="21"/>
              </w:rPr>
              <w:t>年</w:t>
            </w:r>
            <w:r>
              <w:rPr>
                <w:color w:val="0000FF"/>
                <w:szCs w:val="21"/>
                <w:u w:val="single"/>
              </w:rPr>
              <w:t xml:space="preserve"> 12</w:t>
            </w:r>
            <w:r>
              <w:rPr>
                <w:rFonts w:hint="eastAsia"/>
                <w:color w:val="0000FF"/>
                <w:szCs w:val="21"/>
                <w:u w:val="single"/>
              </w:rPr>
              <w:t xml:space="preserve"> </w:t>
            </w:r>
            <w:r>
              <w:rPr>
                <w:color w:val="0000FF"/>
                <w:szCs w:val="21"/>
              </w:rPr>
              <w:t>月</w:t>
            </w:r>
            <w:r>
              <w:rPr>
                <w:color w:val="0000FF"/>
                <w:szCs w:val="21"/>
                <w:u w:val="single"/>
              </w:rPr>
              <w:t xml:space="preserve"> 02 </w:t>
            </w:r>
            <w:r>
              <w:rPr>
                <w:color w:val="0000FF"/>
                <w:szCs w:val="21"/>
              </w:rPr>
              <w:t>日</w:t>
            </w:r>
            <w:r>
              <w:t>在现场确认了流程图的准确性。</w:t>
            </w:r>
            <w:r>
              <w:rPr>
                <w:rFonts w:hint="eastAsia"/>
              </w:rPr>
              <w:t>【审核周期内未发生变化】</w:t>
            </w:r>
          </w:p>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174" w:type="dxa"/>
            <w:vMerge w:val="continue"/>
            <w:shd w:val="clear" w:color="auto" w:fill="auto"/>
          </w:tcPr>
          <w:p/>
        </w:tc>
        <w:tc>
          <w:tcPr>
            <w:tcW w:w="936" w:type="dxa"/>
            <w:shd w:val="clear" w:color="auto" w:fill="auto"/>
          </w:tcPr>
          <w:p/>
        </w:tc>
        <w:tc>
          <w:tcPr>
            <w:tcW w:w="745" w:type="dxa"/>
            <w:shd w:val="clear" w:color="auto" w:fill="auto"/>
          </w:tcPr>
          <w:p/>
        </w:tc>
        <w:tc>
          <w:tcPr>
            <w:tcW w:w="10223"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A8"/>
            </w:r>
            <w:r>
              <w:t>清洁区，</w:t>
            </w:r>
            <w:r>
              <w:rPr/>
              <w:sym w:font="Wingdings" w:char="00A8"/>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车间平面图（含设备布局）</w:t>
            </w:r>
            <w:r>
              <w:rPr>
                <w:rFonts w:hint="eastAsia"/>
              </w:rPr>
              <w:t>（配送车间布置图）</w:t>
            </w:r>
            <w:r>
              <w:t>（包括：</w:t>
            </w:r>
            <w:r>
              <w:rPr/>
              <w:sym w:font="Wingdings" w:char="00A8"/>
            </w:r>
            <w:r>
              <w:t>清洁区，</w:t>
            </w:r>
            <w:r>
              <w:rPr/>
              <w:sym w:font="Wingdings" w:char="00A8"/>
            </w:r>
            <w:r>
              <w:t>准清洁区，</w:t>
            </w:r>
            <w:r>
              <w:rPr/>
              <w:sym w:font="Wingdings" w:char="00FE"/>
            </w:r>
            <w:r>
              <w:t>一般清洁区）</w:t>
            </w:r>
          </w:p>
          <w:p>
            <w:pPr>
              <w:ind w:firstLine="630" w:firstLineChars="300"/>
            </w:pPr>
            <w:r>
              <w:rPr/>
              <w:sym w:font="Wingdings" w:char="00FE"/>
            </w:r>
            <w:r>
              <w:t>工艺流程图（含循环点、返工</w:t>
            </w:r>
            <w:r>
              <w:rPr>
                <w:rFonts w:hint="eastAsia"/>
              </w:rPr>
              <w:t>（不涉及）</w:t>
            </w:r>
            <w:r>
              <w:t>、物料进入、废料排出、外包等）</w:t>
            </w:r>
          </w:p>
          <w:p>
            <w:pPr>
              <w:ind w:firstLine="630" w:firstLineChars="300"/>
            </w:pPr>
            <w:r>
              <w:rPr/>
              <w:sym w:font="Wingdings" w:char="00FE"/>
            </w:r>
            <w:r>
              <w:t>人流图，</w:t>
            </w:r>
            <w:r>
              <w:rPr/>
              <w:sym w:font="Wingdings" w:char="00A8"/>
            </w:r>
            <w:r>
              <w:t>气流图，</w:t>
            </w:r>
            <w:r>
              <w:rPr/>
              <w:sym w:font="Wingdings" w:char="00A8"/>
            </w:r>
            <w:r>
              <w:t>水流图，</w:t>
            </w:r>
            <w:r>
              <w:rPr/>
              <w:sym w:font="Wingdings" w:char="00FE"/>
            </w:r>
            <w:r>
              <w:t>物流图，</w:t>
            </w:r>
            <w:r>
              <w:rPr/>
              <w:sym w:font="Wingdings" w:char="00FE"/>
            </w:r>
            <w:r>
              <w:t>防虫害图（蚊蝇、鼠、蟑螂、鸟等）</w:t>
            </w:r>
          </w:p>
          <w:p>
            <w:pPr>
              <w:rPr>
                <w:highlight w:val="yellow"/>
              </w:rPr>
            </w:pPr>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 xml:space="preserve">来自法律法规——法律法规的变化  </w:t>
            </w:r>
          </w:p>
          <w:p>
            <w:pPr>
              <w:ind w:firstLine="840" w:firstLineChars="400"/>
            </w:pPr>
            <w:r>
              <w:rPr/>
              <w:sym w:font="Wingdings" w:char="00FE"/>
            </w:r>
            <w:r>
              <w:t xml:space="preserve">监管机构的要求—— </w:t>
            </w:r>
          </w:p>
          <w:p>
            <w:pPr>
              <w:ind w:firstLine="840" w:firstLineChars="400"/>
              <w:rPr>
                <w:szCs w:val="21"/>
              </w:rPr>
            </w:pPr>
            <w:r>
              <w:rPr/>
              <w:sym w:font="Wingdings" w:char="00FE"/>
            </w:r>
            <w:r>
              <w:t>客户要求——</w:t>
            </w:r>
            <w:r>
              <w:rPr>
                <w:szCs w:val="21"/>
              </w:rPr>
              <w:t>改变</w:t>
            </w:r>
            <w:r>
              <w:rPr>
                <w:rFonts w:hint="eastAsia"/>
                <w:szCs w:val="21"/>
              </w:rPr>
              <w:t>订单/需求</w:t>
            </w:r>
            <w:r>
              <w:rPr>
                <w:szCs w:val="21"/>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FE"/>
            </w:r>
            <w:r>
              <w:t xml:space="preserve">单班  </w:t>
            </w:r>
            <w:r>
              <w:rPr/>
              <w:sym w:font="Wingdings" w:char="00A8"/>
            </w:r>
            <w:r>
              <w:t>多班次，说明：</w:t>
            </w:r>
            <w:r>
              <w:rPr>
                <w:u w:val="single"/>
              </w:rPr>
              <w:t xml:space="preserve">                         </w:t>
            </w:r>
          </w:p>
          <w:p/>
        </w:tc>
        <w:tc>
          <w:tcPr>
            <w:tcW w:w="1181" w:type="dxa"/>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4" w:type="dxa"/>
            <w:vMerge w:val="restart"/>
            <w:shd w:val="clear" w:color="auto" w:fill="auto"/>
          </w:tcPr>
          <w:p>
            <w:r>
              <w:t>危害分析</w:t>
            </w:r>
          </w:p>
        </w:tc>
        <w:tc>
          <w:tcPr>
            <w:tcW w:w="936" w:type="dxa"/>
            <w:vMerge w:val="restart"/>
            <w:shd w:val="clear" w:color="auto" w:fill="auto"/>
          </w:tcPr>
          <w:p>
            <w:r>
              <w:t>F8.5.2</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pPr>
              <w:rPr>
                <w:color w:val="0000FF"/>
              </w:rPr>
            </w:pPr>
            <w:r>
              <w:t>食品安全小组于</w:t>
            </w:r>
            <w:r>
              <w:rPr>
                <w:u w:val="single"/>
              </w:rPr>
              <w:t xml:space="preserve">  2021 </w:t>
            </w:r>
            <w:r>
              <w:t>年</w:t>
            </w:r>
            <w:r>
              <w:rPr>
                <w:u w:val="single"/>
              </w:rPr>
              <w:t xml:space="preserve"> 1</w:t>
            </w:r>
            <w:r>
              <w:t>月</w:t>
            </w:r>
            <w:r>
              <w:rPr>
                <w:u w:val="single"/>
              </w:rPr>
              <w:t xml:space="preserve"> 1</w:t>
            </w:r>
            <w:r>
              <w:t>日根据初步情况进行危害分析，确定需要控制的危害。控制程度应确保食品安全，并在适当情况下采用多种控制措施的组合。</w:t>
            </w:r>
            <w:r>
              <w:rPr>
                <w:rFonts w:hint="eastAsia"/>
                <w:color w:val="0000FF"/>
              </w:rPr>
              <w:t>【审核周期内未发生变化】</w:t>
            </w:r>
          </w:p>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计划》中的主要食品安全危害，包括：</w:t>
            </w:r>
          </w:p>
          <w:p/>
          <w:p>
            <w:pPr>
              <w:rPr>
                <w:b/>
                <w:bCs/>
              </w:rPr>
            </w:pPr>
            <w:r>
              <w:rPr>
                <w:b/>
                <w:bCs/>
                <w:lang w:val="en-GB"/>
              </w:rPr>
              <w:t>显著危害</w:t>
            </w:r>
            <w:r>
              <w:rPr>
                <w:b/>
                <w:bCs/>
              </w:rPr>
              <w:t>包括：</w:t>
            </w:r>
          </w:p>
          <w:p>
            <w:r>
              <w:t>化学危害：</w:t>
            </w:r>
            <w:r>
              <w:rPr/>
              <w:sym w:font="Wingdings" w:char="00FE"/>
            </w:r>
            <w:r>
              <w:t xml:space="preserve">重金属  </w:t>
            </w:r>
            <w:r>
              <w:rPr/>
              <w:sym w:font="Wingdings" w:char="00FE"/>
            </w:r>
            <w:r>
              <w:t xml:space="preserve">农药残留  </w:t>
            </w:r>
            <w:r>
              <w:rPr/>
              <w:sym w:font="Wingdings" w:char="00FE"/>
            </w:r>
            <w:r>
              <w:t xml:space="preserve">兽药残留  </w:t>
            </w:r>
            <w:r>
              <w:rPr/>
              <w:sym w:font="Wingdings" w:char="00FE"/>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FE"/>
            </w:r>
            <w:r>
              <w:t xml:space="preserve">化学品（润滑油、清洁剂、消毒剂、杀虫剂）  </w:t>
            </w:r>
            <w:r>
              <w:rPr/>
              <w:sym w:font="Wingdings" w:char="00FE"/>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FE"/>
            </w:r>
            <w:r>
              <w:t>其他</w:t>
            </w:r>
            <w:r>
              <w:rPr>
                <w:rFonts w:hint="eastAsia"/>
              </w:rPr>
              <w:t>（挥发性盐基氮、组胺、多氯联苯）</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FE"/>
            </w:r>
            <w:r>
              <w:t xml:space="preserve">霉菌  </w:t>
            </w:r>
            <w:r>
              <w:rPr/>
              <w:sym w:font="Wingdings" w:char="00A8"/>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bCs/>
                      <w:sz w:val="18"/>
                      <w:szCs w:val="18"/>
                    </w:rPr>
                  </w:pPr>
                  <w:r>
                    <w:rPr>
                      <w:rFonts w:hint="eastAsia"/>
                      <w:bCs/>
                      <w:sz w:val="18"/>
                      <w:szCs w:val="18"/>
                    </w:rPr>
                    <w:t>畜禽</w:t>
                  </w:r>
                  <w:r>
                    <w:rPr>
                      <w:bCs/>
                      <w:sz w:val="18"/>
                      <w:szCs w:val="18"/>
                      <w:lang w:val="en-GB"/>
                    </w:rPr>
                    <w:t>肉</w:t>
                  </w:r>
                  <w:r>
                    <w:rPr>
                      <w:rFonts w:hint="eastAsia"/>
                      <w:bCs/>
                      <w:sz w:val="18"/>
                      <w:szCs w:val="18"/>
                    </w:rPr>
                    <w:t>类产品（冻品）</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rPr>
                    <w:t xml:space="preserve">   </w:t>
                  </w:r>
                  <w:r>
                    <w:rPr>
                      <w:bCs/>
                      <w:sz w:val="18"/>
                      <w:szCs w:val="18"/>
                    </w:rPr>
                    <w:sym w:font="Wingdings" w:char="00FE"/>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pPr>
                    <w:ind w:firstLine="180" w:firstLineChars="100"/>
                    <w:rPr>
                      <w:sz w:val="18"/>
                      <w:szCs w:val="18"/>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pStyle w:val="2"/>
                    <w:ind w:left="0" w:firstLine="0" w:firstLineChars="0"/>
                    <w:rPr>
                      <w:sz w:val="18"/>
                      <w:szCs w:val="18"/>
                    </w:rPr>
                  </w:pPr>
                  <w:r>
                    <w:rPr>
                      <w:rFonts w:hint="eastAsia" w:ascii="Times New Roman" w:hAnsi="Times New Roman"/>
                      <w:bCs/>
                      <w:sz w:val="18"/>
                      <w:szCs w:val="18"/>
                    </w:rPr>
                    <w:t>（动物检疫证明、肉品质合格证等）</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水产品</w:t>
                  </w:r>
                  <w:r>
                    <w:rPr>
                      <w:rFonts w:hint="eastAsia"/>
                      <w:bCs/>
                      <w:sz w:val="18"/>
                      <w:szCs w:val="18"/>
                      <w:lang w:val="en-GB"/>
                    </w:rPr>
                    <w:t>（冻品）</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jc w:val="center"/>
                    <w:rPr>
                      <w:rFonts w:hint="eastAsia" w:eastAsia="宋体"/>
                      <w:bCs/>
                      <w:sz w:val="18"/>
                      <w:szCs w:val="18"/>
                      <w:lang w:eastAsia="zh-CN"/>
                    </w:rPr>
                  </w:pPr>
                  <w:r>
                    <w:rPr>
                      <w:rFonts w:hint="eastAsia"/>
                      <w:bCs/>
                      <w:sz w:val="18"/>
                      <w:szCs w:val="18"/>
                    </w:rPr>
                    <w:t>粮油类</w:t>
                  </w:r>
                  <w:r>
                    <w:rPr>
                      <w:rFonts w:hint="eastAsia"/>
                      <w:bCs/>
                      <w:sz w:val="18"/>
                      <w:szCs w:val="18"/>
                      <w:lang w:eastAsia="zh-CN"/>
                    </w:rPr>
                    <w:t>（</w:t>
                  </w:r>
                  <w:r>
                    <w:rPr>
                      <w:rFonts w:hint="eastAsia"/>
                      <w:bCs/>
                      <w:sz w:val="18"/>
                      <w:szCs w:val="18"/>
                      <w:lang w:val="en-US" w:eastAsia="zh-CN"/>
                    </w:rPr>
                    <w:t>大米、植物油等</w:t>
                  </w:r>
                  <w:r>
                    <w:rPr>
                      <w:rFonts w:hint="eastAsia"/>
                      <w:bCs/>
                      <w:sz w:val="18"/>
                      <w:szCs w:val="18"/>
                      <w:lang w:eastAsia="zh-CN"/>
                    </w:rPr>
                    <w:t>）</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FE"/>
                  </w:r>
                  <w:r>
                    <w:rPr>
                      <w:bCs/>
                      <w:sz w:val="18"/>
                      <w:szCs w:val="18"/>
                      <w:lang w:val="en-GB"/>
                    </w:rPr>
                    <w:t xml:space="preserve">黄曲霉毒素 </w:t>
                  </w:r>
                  <w:r>
                    <w:rPr>
                      <w:bCs/>
                      <w:sz w:val="18"/>
                      <w:szCs w:val="18"/>
                    </w:rPr>
                    <w:sym w:font="Wingdings" w:char="00FE"/>
                  </w:r>
                  <w:r>
                    <w:rPr>
                      <w:bCs/>
                      <w:sz w:val="18"/>
                      <w:szCs w:val="18"/>
                      <w:lang w:val="en-GB"/>
                    </w:rPr>
                    <w:t>苯并芘</w:t>
                  </w:r>
                </w:p>
                <w:p>
                  <w:pPr>
                    <w:jc w:val="center"/>
                    <w:rPr>
                      <w:rFonts w:hint="eastAsia" w:eastAsia="宋体"/>
                      <w:bCs/>
                      <w:sz w:val="18"/>
                      <w:szCs w:val="18"/>
                      <w:lang w:val="en-GB" w:eastAsia="zh-CN"/>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FE"/>
                  </w:r>
                  <w:r>
                    <w:rPr>
                      <w:rFonts w:hint="eastAsia"/>
                      <w:bCs/>
                      <w:sz w:val="18"/>
                      <w:szCs w:val="18"/>
                      <w:lang w:val="en-US" w:eastAsia="zh-CN"/>
                    </w:rPr>
                    <w:t>酸价</w:t>
                  </w:r>
                </w:p>
                <w:p>
                  <w:pPr>
                    <w:jc w:val="center"/>
                    <w:rPr>
                      <w:rFonts w:hint="default" w:eastAsia="宋体"/>
                      <w:bCs/>
                      <w:sz w:val="18"/>
                      <w:szCs w:val="18"/>
                      <w:lang w:val="en-US" w:eastAsia="zh-CN"/>
                    </w:rPr>
                  </w:pPr>
                  <w:r>
                    <w:rPr>
                      <w:sz w:val="18"/>
                      <w:szCs w:val="18"/>
                    </w:rPr>
                    <w:sym w:font="Wingdings" w:char="00FE"/>
                  </w:r>
                  <w:r>
                    <w:rPr>
                      <w:sz w:val="18"/>
                      <w:szCs w:val="18"/>
                    </w:rPr>
                    <w:t>溶剂残留</w:t>
                  </w:r>
                  <w:r>
                    <w:rPr>
                      <w:rFonts w:hint="eastAsia"/>
                      <w:sz w:val="18"/>
                      <w:szCs w:val="18"/>
                      <w:lang w:val="en-US" w:eastAsia="zh-CN"/>
                    </w:rPr>
                    <w:t xml:space="preserve">  </w:t>
                  </w:r>
                  <w:r>
                    <w:rPr>
                      <w:sz w:val="18"/>
                      <w:szCs w:val="18"/>
                    </w:rPr>
                    <w:sym w:font="Wingdings" w:char="00FE"/>
                  </w:r>
                  <w:r>
                    <w:rPr>
                      <w:rFonts w:hint="eastAsia"/>
                      <w:sz w:val="18"/>
                      <w:szCs w:val="18"/>
                      <w:lang w:val="en-US" w:eastAsia="zh-CN"/>
                    </w:rPr>
                    <w:t xml:space="preserve">过氧化值 </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调味品（食盐、酱油、味精、老抽、醋</w:t>
                  </w:r>
                  <w:r>
                    <w:rPr>
                      <w:rFonts w:hint="eastAsia"/>
                      <w:bCs/>
                      <w:sz w:val="18"/>
                      <w:szCs w:val="18"/>
                    </w:rPr>
                    <w:t>等</w:t>
                  </w:r>
                  <w:r>
                    <w:rPr>
                      <w:bCs/>
                      <w:sz w:val="18"/>
                      <w:szCs w:val="18"/>
                    </w:rPr>
                    <w:t>）</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塑料袋</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pPr>
              <w:rPr>
                <w:bCs/>
              </w:rPr>
            </w:pPr>
          </w:p>
          <w:p>
            <w:pPr>
              <w:rPr>
                <w:bCs/>
              </w:rPr>
            </w:pPr>
          </w:p>
          <w:p>
            <w:pPr>
              <w:tabs>
                <w:tab w:val="right" w:pos="3119"/>
              </w:tabs>
              <w:rPr>
                <w:b/>
              </w:rPr>
            </w:pPr>
            <w:r>
              <w:rPr>
                <w:b/>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autoSpaceDE w:val="0"/>
                    <w:autoSpaceDN w:val="0"/>
                    <w:adjustRightInd w:val="0"/>
                    <w:jc w:val="center"/>
                    <w:rPr>
                      <w:rFonts w:ascii="Times New Roman" w:hAnsi="Times New Roman" w:eastAsia="宋体" w:cs="Times New Roman"/>
                      <w:bCs/>
                      <w:kern w:val="2"/>
                      <w:sz w:val="18"/>
                      <w:szCs w:val="18"/>
                      <w:lang w:val="en-US" w:eastAsia="zh-CN" w:bidi="ar-SA"/>
                    </w:rPr>
                  </w:pPr>
                  <w:r>
                    <w:rPr>
                      <w:rFonts w:hint="eastAsia"/>
                      <w:bCs/>
                      <w:sz w:val="18"/>
                      <w:szCs w:val="18"/>
                    </w:rPr>
                    <w:t>畜禽</w:t>
                  </w:r>
                  <w:r>
                    <w:rPr>
                      <w:bCs/>
                      <w:sz w:val="18"/>
                      <w:szCs w:val="18"/>
                      <w:lang w:val="en-GB"/>
                    </w:rPr>
                    <w:t>肉</w:t>
                  </w:r>
                  <w:r>
                    <w:rPr>
                      <w:rFonts w:hint="eastAsia"/>
                      <w:bCs/>
                      <w:sz w:val="18"/>
                      <w:szCs w:val="18"/>
                    </w:rPr>
                    <w:t>类产品（冻品）</w:t>
                  </w:r>
                </w:p>
              </w:tc>
              <w:tc>
                <w:tcPr>
                  <w:tcW w:w="2873"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rPr>
                    <w:t xml:space="preserve">   </w:t>
                  </w:r>
                  <w:r>
                    <w:rPr>
                      <w:bCs/>
                      <w:sz w:val="18"/>
                      <w:szCs w:val="18"/>
                    </w:rPr>
                    <w:sym w:font="Wingdings" w:char="00FE"/>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GB" w:eastAsia="zh-CN" w:bidi="ar-SA"/>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66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pStyle w:val="2"/>
                    <w:ind w:left="0" w:firstLine="0" w:firstLineChars="0"/>
                    <w:rPr>
                      <w:sz w:val="18"/>
                      <w:szCs w:val="18"/>
                    </w:rPr>
                  </w:pPr>
                  <w:r>
                    <w:rPr>
                      <w:rFonts w:hint="eastAsia" w:ascii="Times New Roman" w:hAnsi="Times New Roman"/>
                      <w:bCs/>
                      <w:sz w:val="18"/>
                      <w:szCs w:val="18"/>
                    </w:rPr>
                    <w:t>（动物检疫证明、肉品质合格证等）</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color w:val="FF0000"/>
                      <w:kern w:val="2"/>
                      <w:sz w:val="18"/>
                      <w:szCs w:val="18"/>
                      <w:lang w:val="en-GB" w:eastAsia="zh-CN" w:bidi="ar-SA"/>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autoSpaceDE w:val="0"/>
                    <w:autoSpaceDN w:val="0"/>
                    <w:adjustRightInd w:val="0"/>
                    <w:jc w:val="center"/>
                    <w:rPr>
                      <w:rFonts w:ascii="Times New Roman" w:hAnsi="Times New Roman" w:eastAsia="宋体" w:cs="Times New Roman"/>
                      <w:bCs/>
                      <w:kern w:val="2"/>
                      <w:sz w:val="18"/>
                      <w:szCs w:val="18"/>
                      <w:lang w:val="en-GB" w:eastAsia="zh-CN" w:bidi="ar-SA"/>
                    </w:rPr>
                  </w:pPr>
                  <w:r>
                    <w:rPr>
                      <w:bCs/>
                      <w:sz w:val="18"/>
                      <w:szCs w:val="18"/>
                      <w:lang w:val="en-GB"/>
                    </w:rPr>
                    <w:t>水产品</w:t>
                  </w:r>
                  <w:r>
                    <w:rPr>
                      <w:rFonts w:hint="eastAsia"/>
                      <w:bCs/>
                      <w:sz w:val="18"/>
                      <w:szCs w:val="18"/>
                      <w:lang w:val="en-GB"/>
                    </w:rPr>
                    <w:t>（冻品）</w:t>
                  </w:r>
                </w:p>
              </w:tc>
              <w:tc>
                <w:tcPr>
                  <w:tcW w:w="2873"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rFonts w:ascii="Times New Roman" w:hAnsi="Times New Roman" w:eastAsia="宋体" w:cs="Times New Roman"/>
                      <w:bCs/>
                      <w:kern w:val="2"/>
                      <w:sz w:val="18"/>
                      <w:szCs w:val="18"/>
                      <w:lang w:val="en-GB" w:eastAsia="zh-CN" w:bidi="ar-SA"/>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GB" w:eastAsia="zh-CN" w:bidi="ar-SA"/>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autoSpaceDE w:val="0"/>
                    <w:autoSpaceDN w:val="0"/>
                    <w:adjustRightInd w:val="0"/>
                    <w:jc w:val="center"/>
                    <w:rPr>
                      <w:rFonts w:ascii="Times New Roman" w:hAnsi="Times New Roman" w:eastAsia="宋体" w:cs="Times New Roman"/>
                      <w:bCs/>
                      <w:kern w:val="2"/>
                      <w:sz w:val="18"/>
                      <w:szCs w:val="18"/>
                      <w:lang w:val="en-GB" w:eastAsia="zh-CN" w:bidi="ar-SA"/>
                    </w:rPr>
                  </w:pPr>
                  <w:r>
                    <w:rPr>
                      <w:bCs/>
                      <w:sz w:val="18"/>
                      <w:szCs w:val="18"/>
                      <w:lang w:val="en-GB"/>
                    </w:rPr>
                    <w:t>禽蛋类</w:t>
                  </w:r>
                  <w:r>
                    <w:rPr>
                      <w:rFonts w:hint="eastAsia"/>
                      <w:bCs/>
                      <w:sz w:val="18"/>
                      <w:szCs w:val="18"/>
                      <w:lang w:val="en-GB"/>
                    </w:rPr>
                    <w:t>（冻品）</w:t>
                  </w:r>
                </w:p>
              </w:tc>
              <w:tc>
                <w:tcPr>
                  <w:tcW w:w="2873"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rFonts w:ascii="Times New Roman" w:hAnsi="Times New Roman" w:eastAsia="宋体" w:cs="Times New Roman"/>
                      <w:bCs/>
                      <w:kern w:val="2"/>
                      <w:sz w:val="18"/>
                      <w:szCs w:val="18"/>
                      <w:lang w:val="en-GB" w:eastAsia="zh-CN" w:bidi="ar-SA"/>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66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kern w:val="2"/>
                      <w:sz w:val="18"/>
                      <w:szCs w:val="18"/>
                      <w:lang w:val="en-GB" w:eastAsia="zh-CN" w:bidi="ar-SA"/>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eastAsia" w:ascii="Times New Roman" w:hAnsi="Times New Roman" w:eastAsia="宋体" w:cs="Times New Roman"/>
                      <w:bCs/>
                      <w:kern w:val="2"/>
                      <w:sz w:val="18"/>
                      <w:szCs w:val="18"/>
                      <w:lang w:val="en-US" w:eastAsia="zh-CN" w:bidi="ar-SA"/>
                    </w:rPr>
                  </w:pPr>
                  <w:r>
                    <w:rPr>
                      <w:rFonts w:hint="eastAsia"/>
                      <w:bCs/>
                      <w:sz w:val="18"/>
                      <w:szCs w:val="18"/>
                    </w:rPr>
                    <w:t>粮油类</w:t>
                  </w:r>
                  <w:r>
                    <w:rPr>
                      <w:rFonts w:hint="eastAsia"/>
                      <w:bCs/>
                      <w:sz w:val="18"/>
                      <w:szCs w:val="18"/>
                      <w:lang w:eastAsia="zh-CN"/>
                    </w:rPr>
                    <w:t>（</w:t>
                  </w:r>
                  <w:r>
                    <w:rPr>
                      <w:rFonts w:hint="eastAsia"/>
                      <w:bCs/>
                      <w:sz w:val="18"/>
                      <w:szCs w:val="18"/>
                      <w:lang w:val="en-US" w:eastAsia="zh-CN"/>
                    </w:rPr>
                    <w:t>大米、植物油等</w:t>
                  </w:r>
                  <w:r>
                    <w:rPr>
                      <w:rFonts w:hint="eastAsia"/>
                      <w:bCs/>
                      <w:sz w:val="18"/>
                      <w:szCs w:val="18"/>
                      <w:lang w:eastAsia="zh-CN"/>
                    </w:rPr>
                    <w:t>）</w:t>
                  </w:r>
                </w:p>
              </w:tc>
              <w:tc>
                <w:tcPr>
                  <w:tcW w:w="2873"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FE"/>
                  </w:r>
                  <w:r>
                    <w:rPr>
                      <w:bCs/>
                      <w:sz w:val="18"/>
                      <w:szCs w:val="18"/>
                      <w:lang w:val="en-GB"/>
                    </w:rPr>
                    <w:t xml:space="preserve">黄曲霉毒素 </w:t>
                  </w:r>
                  <w:r>
                    <w:rPr>
                      <w:bCs/>
                      <w:sz w:val="18"/>
                      <w:szCs w:val="18"/>
                    </w:rPr>
                    <w:sym w:font="Wingdings" w:char="00FE"/>
                  </w:r>
                  <w:r>
                    <w:rPr>
                      <w:bCs/>
                      <w:sz w:val="18"/>
                      <w:szCs w:val="18"/>
                      <w:lang w:val="en-GB"/>
                    </w:rPr>
                    <w:t>苯并芘</w:t>
                  </w:r>
                </w:p>
                <w:p>
                  <w:pPr>
                    <w:jc w:val="center"/>
                    <w:rPr>
                      <w:rFonts w:hint="eastAsia" w:eastAsia="宋体"/>
                      <w:bCs/>
                      <w:sz w:val="18"/>
                      <w:szCs w:val="18"/>
                      <w:lang w:val="en-GB" w:eastAsia="zh-CN"/>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FE"/>
                  </w:r>
                  <w:r>
                    <w:rPr>
                      <w:rFonts w:hint="eastAsia"/>
                      <w:bCs/>
                      <w:sz w:val="18"/>
                      <w:szCs w:val="18"/>
                      <w:lang w:val="en-US" w:eastAsia="zh-CN"/>
                    </w:rPr>
                    <w:t>酸价</w:t>
                  </w:r>
                </w:p>
                <w:p>
                  <w:pPr>
                    <w:jc w:val="center"/>
                    <w:rPr>
                      <w:rFonts w:hint="default" w:ascii="Times New Roman" w:hAnsi="Times New Roman" w:eastAsia="宋体" w:cs="Times New Roman"/>
                      <w:bCs/>
                      <w:kern w:val="2"/>
                      <w:sz w:val="18"/>
                      <w:szCs w:val="18"/>
                      <w:lang w:val="en-GB" w:eastAsia="zh-CN" w:bidi="ar-SA"/>
                    </w:rPr>
                  </w:pPr>
                  <w:r>
                    <w:rPr>
                      <w:sz w:val="18"/>
                      <w:szCs w:val="18"/>
                    </w:rPr>
                    <w:sym w:font="Wingdings" w:char="00FE"/>
                  </w:r>
                  <w:r>
                    <w:rPr>
                      <w:sz w:val="18"/>
                      <w:szCs w:val="18"/>
                    </w:rPr>
                    <w:t>溶剂残留</w:t>
                  </w:r>
                  <w:r>
                    <w:rPr>
                      <w:rFonts w:hint="eastAsia"/>
                      <w:sz w:val="18"/>
                      <w:szCs w:val="18"/>
                      <w:lang w:val="en-US" w:eastAsia="zh-CN"/>
                    </w:rPr>
                    <w:t xml:space="preserve">  </w:t>
                  </w:r>
                  <w:r>
                    <w:rPr>
                      <w:sz w:val="18"/>
                      <w:szCs w:val="18"/>
                    </w:rPr>
                    <w:sym w:font="Wingdings" w:char="00FE"/>
                  </w:r>
                  <w:r>
                    <w:rPr>
                      <w:rFonts w:hint="eastAsia"/>
                      <w:sz w:val="18"/>
                      <w:szCs w:val="18"/>
                      <w:lang w:val="en-US" w:eastAsia="zh-CN"/>
                    </w:rPr>
                    <w:t xml:space="preserve">过氧化值 </w:t>
                  </w:r>
                </w:p>
              </w:tc>
              <w:tc>
                <w:tcPr>
                  <w:tcW w:w="366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GB" w:eastAsia="zh-CN" w:bidi="ar-SA"/>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ascii="Times New Roman" w:hAnsi="Times New Roman" w:eastAsia="宋体" w:cs="Times New Roman"/>
                      <w:bCs/>
                      <w:kern w:val="2"/>
                      <w:sz w:val="18"/>
                      <w:szCs w:val="18"/>
                      <w:lang w:val="en-US" w:eastAsia="zh-CN" w:bidi="ar-SA"/>
                    </w:rPr>
                  </w:pPr>
                  <w:r>
                    <w:rPr>
                      <w:bCs/>
                      <w:sz w:val="18"/>
                      <w:szCs w:val="18"/>
                    </w:rPr>
                    <w:t>调味品（食盐、酱油、味精、老抽、醋</w:t>
                  </w:r>
                  <w:r>
                    <w:rPr>
                      <w:rFonts w:hint="eastAsia"/>
                      <w:bCs/>
                      <w:sz w:val="18"/>
                      <w:szCs w:val="18"/>
                    </w:rPr>
                    <w:t>等</w:t>
                  </w:r>
                  <w:r>
                    <w:rPr>
                      <w:bCs/>
                      <w:sz w:val="18"/>
                      <w:szCs w:val="18"/>
                    </w:rPr>
                    <w:t>）</w:t>
                  </w:r>
                </w:p>
              </w:tc>
              <w:tc>
                <w:tcPr>
                  <w:tcW w:w="2873"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rFonts w:ascii="Times New Roman" w:hAnsi="Times New Roman" w:eastAsia="宋体" w:cs="Times New Roman"/>
                      <w:bCs/>
                      <w:kern w:val="2"/>
                      <w:sz w:val="18"/>
                      <w:szCs w:val="18"/>
                      <w:lang w:val="en-GB" w:eastAsia="zh-CN" w:bidi="ar-SA"/>
                    </w:rPr>
                  </w:pPr>
                  <w:r>
                    <w:rPr>
                      <w:sz w:val="18"/>
                      <w:szCs w:val="18"/>
                    </w:rPr>
                    <w:sym w:font="Wingdings" w:char="00A8"/>
                  </w:r>
                  <w:r>
                    <w:rPr>
                      <w:sz w:val="18"/>
                      <w:szCs w:val="18"/>
                    </w:rPr>
                    <w:t>溶剂残留</w:t>
                  </w:r>
                </w:p>
              </w:tc>
              <w:tc>
                <w:tcPr>
                  <w:tcW w:w="366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US" w:eastAsia="zh-CN" w:bidi="ar-SA"/>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ascii="Times New Roman" w:hAnsi="Times New Roman" w:eastAsia="宋体" w:cs="Times New Roman"/>
                      <w:bCs/>
                      <w:kern w:val="2"/>
                      <w:sz w:val="18"/>
                      <w:szCs w:val="18"/>
                      <w:lang w:val="en-US" w:eastAsia="zh-CN" w:bidi="ar-SA"/>
                    </w:rPr>
                  </w:pPr>
                  <w:r>
                    <w:rPr>
                      <w:bCs/>
                      <w:sz w:val="18"/>
                      <w:szCs w:val="18"/>
                    </w:rPr>
                    <w:t>塑料袋</w:t>
                  </w:r>
                </w:p>
              </w:tc>
              <w:tc>
                <w:tcPr>
                  <w:tcW w:w="2873"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rFonts w:ascii="Times New Roman" w:hAnsi="Times New Roman" w:eastAsia="宋体" w:cs="Times New Roman"/>
                      <w:bCs/>
                      <w:kern w:val="2"/>
                      <w:sz w:val="18"/>
                      <w:szCs w:val="18"/>
                      <w:lang w:val="en-GB" w:eastAsia="zh-CN" w:bidi="ar-SA"/>
                    </w:rPr>
                  </w:pPr>
                  <w:r>
                    <w:rPr>
                      <w:bCs/>
                      <w:sz w:val="18"/>
                      <w:szCs w:val="18"/>
                    </w:rPr>
                    <w:sym w:font="Wingdings" w:char="00FE"/>
                  </w:r>
                  <w:r>
                    <w:rPr>
                      <w:sz w:val="18"/>
                      <w:szCs w:val="18"/>
                    </w:rPr>
                    <w:t>溶剂残留</w:t>
                  </w:r>
                </w:p>
              </w:tc>
              <w:tc>
                <w:tcPr>
                  <w:tcW w:w="366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US" w:eastAsia="zh-CN" w:bidi="ar-SA"/>
                    </w:rPr>
                  </w:pPr>
                  <w:r>
                    <w:rPr>
                      <w:sz w:val="18"/>
                      <w:szCs w:val="18"/>
                    </w:rPr>
                    <w:sym w:font="Wingdings" w:char="00A8"/>
                  </w:r>
                  <w:r>
                    <w:rPr>
                      <w:bCs/>
                      <w:sz w:val="18"/>
                      <w:szCs w:val="18"/>
                    </w:rPr>
                    <w:t>第三方检测报告</w:t>
                  </w:r>
                </w:p>
              </w:tc>
            </w:tr>
          </w:tbl>
          <w:p>
            <w:pPr>
              <w:rPr>
                <w:color w:val="0000FF"/>
                <w:sz w:val="21"/>
                <w:szCs w:val="21"/>
                <w:u w:val="single"/>
              </w:rPr>
            </w:pPr>
            <w:r>
              <w:rPr>
                <w:rFonts w:hint="eastAsia"/>
                <w:color w:val="0000FF"/>
                <w:sz w:val="21"/>
                <w:szCs w:val="21"/>
                <w:u w:val="single"/>
              </w:rPr>
              <w:t>经询问了解，受疫情影响以及客户群体的要求，目前以散装食品为主</w:t>
            </w:r>
            <w:r>
              <w:rPr>
                <w:rFonts w:hint="eastAsia"/>
                <w:color w:val="0000FF"/>
                <w:sz w:val="21"/>
                <w:szCs w:val="21"/>
                <w:u w:val="single"/>
                <w:lang w:eastAsia="zh-CN"/>
              </w:rPr>
              <w:t>，</w:t>
            </w:r>
            <w:r>
              <w:rPr>
                <w:rFonts w:hint="eastAsia"/>
                <w:color w:val="0000FF"/>
                <w:sz w:val="21"/>
                <w:szCs w:val="21"/>
                <w:u w:val="single"/>
                <w:lang w:val="en-US" w:eastAsia="zh-CN"/>
              </w:rPr>
              <w:t>预包装产品销售量较少</w:t>
            </w:r>
            <w:r>
              <w:rPr>
                <w:rFonts w:hint="eastAsia"/>
                <w:color w:val="0000FF"/>
                <w:sz w:val="21"/>
                <w:szCs w:val="21"/>
                <w:u w:val="single"/>
              </w:rPr>
              <w:t>；</w:t>
            </w:r>
          </w:p>
          <w:p/>
          <w:p>
            <w:r>
              <w:t>出现、引入的危害：</w:t>
            </w:r>
          </w:p>
          <w:p>
            <w:r>
              <w:rPr/>
              <w:sym w:font="Wingdings" w:char="00A8"/>
            </w:r>
            <w:r>
              <w:t xml:space="preserve">原材料 </w:t>
            </w:r>
            <w:r>
              <w:rPr/>
              <w:sym w:font="Wingdings" w:char="00A8"/>
            </w:r>
            <w:r>
              <w:t xml:space="preserve">加工助剂 </w:t>
            </w:r>
            <w:r>
              <w:rPr/>
              <w:sym w:font="Wingdings" w:char="00A8"/>
            </w:r>
            <w:r>
              <w:t xml:space="preserve">食品添加剂 </w:t>
            </w:r>
            <w:r>
              <w:rPr/>
              <w:sym w:font="Wingdings" w:char="00A8"/>
            </w:r>
            <w:r>
              <w:t xml:space="preserve">加工用水/冰/蒸汽 </w:t>
            </w:r>
            <w:r>
              <w:rPr/>
              <w:sym w:font="Wingdings" w:char="00FE"/>
            </w:r>
            <w:r>
              <w:t xml:space="preserve">接触面  </w:t>
            </w:r>
            <w:r>
              <w:rPr/>
              <w:sym w:font="Wingdings" w:char="00A8"/>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rPr>
              <w:t>无</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rPr>
              <w:t xml:space="preserve">的污染 </w:t>
            </w:r>
            <w:r>
              <w:rPr>
                <w:u w:val="single"/>
              </w:rPr>
              <w:t xml:space="preserve">     </w:t>
            </w:r>
          </w:p>
          <w:p>
            <w:pPr>
              <w:pStyle w:val="2"/>
              <w:ind w:left="0" w:firstLine="0" w:firstLineChars="0"/>
              <w:rPr>
                <w:rFonts w:ascii="Times New Roman" w:hAnsi="Times New Roman"/>
              </w:rPr>
            </w:pPr>
          </w:p>
          <w:p>
            <w:pPr>
              <w:rPr>
                <w:color w:val="FF0000"/>
              </w:rPr>
            </w:pPr>
            <w:r>
              <w:t>组织确定了所识别最终产品的每种食品安全危害的可接受水平。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266"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粮油类</w:t>
                  </w:r>
                </w:p>
              </w:tc>
              <w:tc>
                <w:tcPr>
                  <w:tcW w:w="4263" w:type="dxa"/>
                  <w:shd w:val="clear" w:color="auto" w:fill="auto"/>
                  <w:vAlign w:val="center"/>
                </w:tcPr>
                <w:p>
                  <w:pPr>
                    <w:jc w:val="center"/>
                    <w:rPr>
                      <w:bCs/>
                      <w:szCs w:val="21"/>
                    </w:rPr>
                  </w:pPr>
                  <w:r>
                    <w:rPr>
                      <w:bCs/>
                      <w:szCs w:val="21"/>
                    </w:rPr>
                    <w:t>按照GB2715-2016</w:t>
                  </w:r>
                  <w:r>
                    <w:rPr>
                      <w:rFonts w:hint="eastAsia"/>
                      <w:bCs/>
                      <w:szCs w:val="21"/>
                    </w:rPr>
                    <w:t>、</w:t>
                  </w:r>
                  <w:r>
                    <w:rPr>
                      <w:bCs/>
                      <w:szCs w:val="21"/>
                    </w:rPr>
                    <w:t>GB2762</w:t>
                  </w:r>
                  <w:r>
                    <w:rPr>
                      <w:rFonts w:hint="eastAsia"/>
                      <w:bCs/>
                      <w:szCs w:val="21"/>
                    </w:rPr>
                    <w:t xml:space="preserve"> 、GB 2716 、GB2763 、GB2761 等标准执行，外包装完好、每年索取第三方检测报告</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lang w:val="en-GB"/>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调味品类</w:t>
                  </w:r>
                </w:p>
              </w:tc>
              <w:tc>
                <w:tcPr>
                  <w:tcW w:w="4263" w:type="dxa"/>
                  <w:shd w:val="clear" w:color="auto" w:fill="auto"/>
                  <w:vAlign w:val="center"/>
                </w:tcPr>
                <w:p>
                  <w:pPr>
                    <w:rPr>
                      <w:bCs/>
                      <w:szCs w:val="21"/>
                    </w:rPr>
                  </w:pPr>
                  <w:r>
                    <w:rPr>
                      <w:bCs/>
                      <w:szCs w:val="21"/>
                    </w:rPr>
                    <w:t>按照GB2762</w:t>
                  </w:r>
                  <w:r>
                    <w:rPr>
                      <w:rFonts w:hint="eastAsia"/>
                      <w:bCs/>
                      <w:szCs w:val="21"/>
                    </w:rPr>
                    <w:t xml:space="preserve"> 、GB2761 以及产品标准执行，外包装完好外包装完好、每年索取第三方检测报告</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lang w:val="en-GB"/>
                    </w:rPr>
                  </w:pPr>
                  <w:r>
                    <w:rPr>
                      <w:rFonts w:hint="eastAsia"/>
                      <w:bCs/>
                      <w:szCs w:val="21"/>
                    </w:rPr>
                    <w:t>畜禽肉类【冷藏冷冻类】</w:t>
                  </w:r>
                </w:p>
              </w:tc>
              <w:tc>
                <w:tcPr>
                  <w:tcW w:w="4263" w:type="dxa"/>
                  <w:shd w:val="clear" w:color="auto" w:fill="auto"/>
                  <w:vAlign w:val="center"/>
                </w:tcPr>
                <w:p>
                  <w:pPr>
                    <w:rPr>
                      <w:bCs/>
                      <w:szCs w:val="21"/>
                    </w:rPr>
                  </w:pPr>
                  <w:r>
                    <w:rPr>
                      <w:rFonts w:hint="eastAsia"/>
                      <w:bCs/>
                      <w:szCs w:val="21"/>
                    </w:rPr>
                    <w:t>按照</w:t>
                  </w:r>
                  <w:r>
                    <w:rPr>
                      <w:bCs/>
                      <w:szCs w:val="21"/>
                    </w:rPr>
                    <w:t>GB31650</w:t>
                  </w:r>
                  <w:r>
                    <w:rPr>
                      <w:rFonts w:hint="eastAsia"/>
                      <w:bCs/>
                      <w:szCs w:val="21"/>
                    </w:rPr>
                    <w:t>、</w:t>
                  </w:r>
                  <w:r>
                    <w:rPr>
                      <w:bCs/>
                      <w:szCs w:val="21"/>
                    </w:rPr>
                    <w:t>GB</w:t>
                  </w:r>
                  <w:r>
                    <w:rPr>
                      <w:rFonts w:hint="eastAsia"/>
                      <w:bCs/>
                      <w:szCs w:val="21"/>
                    </w:rPr>
                    <w:t xml:space="preserve"> 168695、GB 2707执行，目测正常、畜禽肉每批索证；</w:t>
                  </w:r>
                </w:p>
              </w:tc>
              <w:tc>
                <w:tcPr>
                  <w:tcW w:w="2266" w:type="dxa"/>
                  <w:shd w:val="clear" w:color="auto" w:fill="auto"/>
                  <w:vAlign w:val="bottom"/>
                </w:tcPr>
                <w:p>
                  <w:pPr>
                    <w:rPr>
                      <w:szCs w:val="21"/>
                    </w:rPr>
                  </w:pPr>
                  <w:r>
                    <w:rPr>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水产品类</w:t>
                  </w:r>
                </w:p>
              </w:tc>
              <w:tc>
                <w:tcPr>
                  <w:tcW w:w="4263" w:type="dxa"/>
                  <w:shd w:val="clear" w:color="auto" w:fill="auto"/>
                  <w:vAlign w:val="center"/>
                </w:tcPr>
                <w:p>
                  <w:pPr>
                    <w:rPr>
                      <w:bCs/>
                      <w:szCs w:val="21"/>
                    </w:rPr>
                  </w:pPr>
                  <w:r>
                    <w:rPr>
                      <w:rFonts w:hint="eastAsia"/>
                      <w:bCs/>
                      <w:szCs w:val="21"/>
                    </w:rPr>
                    <w:t>感官新鲜，按照GB 31650标准执行</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lang w:val="en-GB"/>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塑料袋</w:t>
                  </w:r>
                </w:p>
              </w:tc>
              <w:tc>
                <w:tcPr>
                  <w:tcW w:w="4263" w:type="dxa"/>
                  <w:shd w:val="clear" w:color="auto" w:fill="auto"/>
                  <w:vAlign w:val="center"/>
                </w:tcPr>
                <w:p>
                  <w:pPr>
                    <w:rPr>
                      <w:bCs/>
                      <w:szCs w:val="21"/>
                    </w:rPr>
                  </w:pPr>
                  <w:r>
                    <w:rPr>
                      <w:bCs/>
                      <w:szCs w:val="21"/>
                    </w:rPr>
                    <w:t>按</w:t>
                  </w:r>
                  <w:r>
                    <w:rPr>
                      <w:rFonts w:hint="eastAsia"/>
                      <w:bCs/>
                      <w:szCs w:val="21"/>
                    </w:rPr>
                    <w:t>GB 4806.7-2016、GB 9683-1988 执行，目测正常、洁净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rPr>
                    <w:t>接触面（周转箱、车辆等）</w:t>
                  </w:r>
                </w:p>
              </w:tc>
              <w:tc>
                <w:tcPr>
                  <w:tcW w:w="4263" w:type="dxa"/>
                  <w:shd w:val="clear" w:color="auto" w:fill="auto"/>
                  <w:vAlign w:val="center"/>
                </w:tcPr>
                <w:p>
                  <w:pPr>
                    <w:rPr>
                      <w:bCs/>
                      <w:szCs w:val="21"/>
                    </w:rPr>
                  </w:pPr>
                  <w:r>
                    <w:rPr>
                      <w:rFonts w:hint="eastAsia"/>
                      <w:bCs/>
                    </w:rPr>
                    <w:t>目视洁净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p>
              </w:tc>
              <w:tc>
                <w:tcPr>
                  <w:tcW w:w="4263" w:type="dxa"/>
                  <w:shd w:val="clear" w:color="auto" w:fill="auto"/>
                  <w:vAlign w:val="bottom"/>
                </w:tcPr>
                <w:p>
                  <w:pPr>
                    <w:rPr>
                      <w:bCs/>
                    </w:rPr>
                  </w:pPr>
                </w:p>
              </w:tc>
              <w:tc>
                <w:tcPr>
                  <w:tcW w:w="2266" w:type="dxa"/>
                  <w:shd w:val="clear" w:color="auto" w:fill="auto"/>
                  <w:vAlign w:val="bottom"/>
                </w:tcPr>
                <w:p>
                  <w:pPr>
                    <w:rPr>
                      <w:bCs/>
                      <w:szCs w:val="21"/>
                    </w:rPr>
                  </w:pPr>
                </w:p>
              </w:tc>
            </w:tr>
          </w:tbl>
          <w:p/>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FE"/>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r>
              <w:rPr/>
              <w:sym w:font="Wingdings" w:char="00FE"/>
            </w:r>
            <w:r>
              <w:t>已收集相关法规</w:t>
            </w:r>
          </w:p>
          <w:p>
            <w:r>
              <w:rPr/>
              <w:sym w:font="Wingdings" w:char="00A8"/>
            </w:r>
            <w:r>
              <w:t>未收集相关法规</w:t>
            </w:r>
          </w:p>
          <w:p>
            <w:r>
              <w:rPr/>
              <w:sym w:font="Wingdings" w:char="00A8"/>
            </w:r>
            <w:r>
              <w:t>收集相关法规不全面，说明：</w:t>
            </w:r>
            <w:r>
              <w:rPr>
                <w:u w:val="single"/>
              </w:rPr>
              <w:t xml:space="preserve">                  </w:t>
            </w: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74" w:type="dxa"/>
            <w:vMerge w:val="restart"/>
            <w:shd w:val="clear" w:color="auto" w:fill="auto"/>
          </w:tcPr>
          <w:p>
            <w:r>
              <w:t>控制措施组合的确认</w:t>
            </w:r>
          </w:p>
          <w:p/>
        </w:tc>
        <w:tc>
          <w:tcPr>
            <w:tcW w:w="936" w:type="dxa"/>
            <w:vMerge w:val="restart"/>
            <w:shd w:val="clear" w:color="auto" w:fill="auto"/>
          </w:tcPr>
          <w:p>
            <w:r>
              <w:t>F8.5.3</w:t>
            </w:r>
          </w:p>
          <w:p/>
        </w:tc>
        <w:tc>
          <w:tcPr>
            <w:tcW w:w="745" w:type="dxa"/>
            <w:shd w:val="clear" w:color="auto" w:fill="auto"/>
          </w:tcPr>
          <w:p>
            <w:r>
              <w:t>文件名称</w:t>
            </w:r>
          </w:p>
        </w:tc>
        <w:tc>
          <w:tcPr>
            <w:tcW w:w="1022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w:t>
            </w: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手册8</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条款</w:t>
            </w:r>
          </w:p>
        </w:tc>
        <w:tc>
          <w:tcPr>
            <w:tcW w:w="1181" w:type="dxa"/>
            <w:vMerge w:val="restart"/>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组织就OPRP与CCP的组合能够防止、消除或将成品中食品安全危害减少到可接受水平进行了确认。</w:t>
            </w:r>
          </w:p>
          <w:p>
            <w:pPr>
              <w:rPr>
                <w:color w:val="000000" w:themeColor="text1"/>
                <w:u w:val="single"/>
                <w14:textFill>
                  <w14:solidFill>
                    <w14:schemeClr w14:val="tx1"/>
                  </w14:solidFill>
                </w14:textFill>
              </w:rPr>
            </w:pPr>
            <w:r>
              <w:rPr>
                <w:color w:val="000000" w:themeColor="text1"/>
                <w14:textFill>
                  <w14:solidFill>
                    <w14:schemeClr w14:val="tx1"/>
                  </w14:solidFill>
                </w14:textFill>
              </w:rPr>
              <w:t>抽取成品型式检验相关记录名称：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检测报告</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（供方提供）</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有《PRP现场验证记录》，2022-03-</w:t>
            </w:r>
            <w:r>
              <w:rPr>
                <w:rFonts w:ascii="宋体" w:hAnsi="宋体"/>
                <w:b/>
                <w:bCs/>
                <w:szCs w:val="21"/>
                <w:u w:val="single"/>
              </w:rPr>
              <w:t>9</w:t>
            </w:r>
            <w:r>
              <w:rPr>
                <w:rFonts w:hint="eastAsia" w:ascii="宋体" w:hAnsi="宋体"/>
                <w:b/>
                <w:bCs/>
                <w:szCs w:val="21"/>
                <w:u w:val="single"/>
              </w:rPr>
              <w:t>，结论：控制有效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《危害控制计划确认》，2021-</w:t>
            </w:r>
            <w:r>
              <w:rPr>
                <w:rFonts w:ascii="宋体" w:hAnsi="宋体"/>
                <w:b/>
                <w:bCs/>
                <w:szCs w:val="21"/>
                <w:u w:val="single"/>
              </w:rPr>
              <w:t>3</w:t>
            </w:r>
            <w:r>
              <w:rPr>
                <w:rFonts w:hint="eastAsia" w:ascii="宋体" w:hAnsi="宋体"/>
                <w:b/>
                <w:bCs/>
                <w:szCs w:val="21"/>
                <w:u w:val="single"/>
              </w:rPr>
              <w:t>-</w:t>
            </w:r>
            <w:r>
              <w:rPr>
                <w:rFonts w:ascii="宋体" w:hAnsi="宋体"/>
                <w:b/>
                <w:bCs/>
                <w:szCs w:val="21"/>
                <w:u w:val="single"/>
              </w:rPr>
              <w:t>10</w:t>
            </w:r>
            <w:r>
              <w:rPr>
                <w:rFonts w:hint="eastAsia" w:ascii="宋体" w:hAnsi="宋体"/>
                <w:b/>
                <w:bCs/>
                <w:szCs w:val="21"/>
                <w:u w:val="single"/>
              </w:rPr>
              <w:t>，结论：控制有效</w:t>
            </w:r>
          </w:p>
          <w:p>
            <w:pPr>
              <w:pStyle w:val="2"/>
              <w:ind w:left="0" w:firstLine="0" w:firstLineChars="0"/>
              <w:rPr>
                <w:u w:val="single"/>
              </w:rPr>
            </w:pPr>
          </w:p>
          <w:p>
            <w:pPr>
              <w:pStyle w:val="2"/>
              <w:ind w:left="0" w:firstLine="0" w:firstLineChars="0"/>
              <w:rPr>
                <w:color w:val="FF0000"/>
                <w:highlight w:val="yellow"/>
                <w:u w:val="single"/>
              </w:rPr>
            </w:pPr>
            <w:r>
              <w:rPr>
                <w:rFonts w:hint="eastAsia"/>
                <w:u w:val="single"/>
              </w:rPr>
              <w:t>随机抽取：</w:t>
            </w:r>
          </w:p>
          <w:tbl>
            <w:tblPr>
              <w:tblStyle w:val="12"/>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765"/>
              <w:gridCol w:w="1309"/>
              <w:gridCol w:w="2006"/>
              <w:gridCol w:w="142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日期</w:t>
                  </w:r>
                </w:p>
              </w:tc>
              <w:tc>
                <w:tcPr>
                  <w:tcW w:w="176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样品名称/批次</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送检方式</w:t>
                  </w:r>
                </w:p>
              </w:tc>
              <w:tc>
                <w:tcPr>
                  <w:tcW w:w="2006" w:type="dxa"/>
                </w:tcPr>
                <w:p>
                  <w:pP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报告编号</w:t>
                  </w:r>
                </w:p>
              </w:tc>
              <w:tc>
                <w:tcPr>
                  <w:tcW w:w="142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报告日期</w:t>
                  </w: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tcPr>
                <w:p>
                  <w:r>
                    <w:t>2021-09-01</w:t>
                  </w:r>
                </w:p>
              </w:tc>
              <w:tc>
                <w:tcPr>
                  <w:tcW w:w="1765" w:type="dxa"/>
                </w:tcPr>
                <w:p>
                  <w:r>
                    <w:rPr>
                      <w:rFonts w:hint="eastAsia"/>
                    </w:rPr>
                    <w:t>冷冻鸡肉</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2006" w:type="dxa"/>
                </w:tcPr>
                <w:p>
                  <w:r>
                    <w:t>FQD0807322981A</w:t>
                  </w:r>
                </w:p>
              </w:tc>
              <w:tc>
                <w:tcPr>
                  <w:tcW w:w="1420" w:type="dxa"/>
                </w:tcPr>
                <w:p>
                  <w:r>
                    <w:t>2021-09-01</w:t>
                  </w: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tcPr>
                <w:p>
                  <w:r>
                    <w:t>2021-08-31</w:t>
                  </w:r>
                </w:p>
              </w:tc>
              <w:tc>
                <w:tcPr>
                  <w:tcW w:w="1765" w:type="dxa"/>
                </w:tcPr>
                <w:p>
                  <w:r>
                    <w:rPr>
                      <w:rFonts w:hint="eastAsia"/>
                    </w:rPr>
                    <w:t>老抽王（酿造酱油）</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2006" w:type="dxa"/>
                </w:tcPr>
                <w:p>
                  <w:r>
                    <w:t>F21WT04470</w:t>
                  </w:r>
                </w:p>
              </w:tc>
              <w:tc>
                <w:tcPr>
                  <w:tcW w:w="1420" w:type="dxa"/>
                </w:tcPr>
                <w:p>
                  <w:r>
                    <w:t>2021-08-31</w:t>
                  </w: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r>
                    <w:rPr>
                      <w:rFonts w:hint="eastAsia"/>
                    </w:rPr>
                    <w:t>2021-1</w:t>
                  </w:r>
                  <w:r>
                    <w:t>0</w:t>
                  </w:r>
                  <w:r>
                    <w:rPr>
                      <w:rFonts w:hint="eastAsia"/>
                    </w:rPr>
                    <w:t>-</w:t>
                  </w:r>
                  <w:r>
                    <w:t>2</w:t>
                  </w:r>
                  <w:r>
                    <w:rPr>
                      <w:rFonts w:hint="eastAsia"/>
                    </w:rPr>
                    <w:t>6</w:t>
                  </w:r>
                </w:p>
              </w:tc>
              <w:tc>
                <w:tcPr>
                  <w:tcW w:w="1765" w:type="dxa"/>
                </w:tcPr>
                <w:p>
                  <w:r>
                    <w:rPr>
                      <w:rFonts w:hint="eastAsia"/>
                    </w:rPr>
                    <w:t>牛肉钻</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2006" w:type="dxa"/>
                </w:tcPr>
                <w:p>
                  <w:r>
                    <w:t>GNACY3AA1F1002945</w:t>
                  </w:r>
                </w:p>
              </w:tc>
              <w:tc>
                <w:tcPr>
                  <w:tcW w:w="1420" w:type="dxa"/>
                </w:tcPr>
                <w:p>
                  <w:r>
                    <w:rPr>
                      <w:rFonts w:hint="eastAsia"/>
                    </w:rPr>
                    <w:t>2021-1</w:t>
                  </w:r>
                  <w:r>
                    <w:t>0</w:t>
                  </w:r>
                  <w:r>
                    <w:rPr>
                      <w:rFonts w:hint="eastAsia"/>
                    </w:rPr>
                    <w:t>-</w:t>
                  </w:r>
                  <w:r>
                    <w:t>2</w:t>
                  </w:r>
                  <w:r>
                    <w:rPr>
                      <w:rFonts w:hint="eastAsia"/>
                    </w:rPr>
                    <w:t>6</w:t>
                  </w: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rPr>
                      <w:color w:val="000000" w:themeColor="text1"/>
                      <w:sz w:val="18"/>
                      <w:szCs w:val="18"/>
                      <w14:textFill>
                        <w14:solidFill>
                          <w14:schemeClr w14:val="tx1"/>
                        </w14:solidFill>
                      </w14:textFill>
                    </w:rPr>
                  </w:pPr>
                </w:p>
              </w:tc>
              <w:tc>
                <w:tcPr>
                  <w:tcW w:w="1765" w:type="dxa"/>
                </w:tcPr>
                <w:p>
                  <w:pPr>
                    <w:rPr>
                      <w:color w:val="000000" w:themeColor="text1"/>
                      <w:sz w:val="18"/>
                      <w:szCs w:val="18"/>
                      <w14:textFill>
                        <w14:solidFill>
                          <w14:schemeClr w14:val="tx1"/>
                        </w14:solidFill>
                      </w14:textFill>
                    </w:rPr>
                  </w:pP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2006" w:type="dxa"/>
                </w:tcPr>
                <w:p>
                  <w:pPr>
                    <w:pStyle w:val="2"/>
                    <w:ind w:left="0" w:firstLine="0" w:firstLineChars="0"/>
                    <w:rPr>
                      <w:color w:val="000000" w:themeColor="text1"/>
                      <w:sz w:val="18"/>
                      <w:szCs w:val="18"/>
                      <w14:textFill>
                        <w14:solidFill>
                          <w14:schemeClr w14:val="tx1"/>
                        </w14:solidFill>
                      </w14:textFill>
                    </w:rPr>
                  </w:pPr>
                </w:p>
              </w:tc>
              <w:tc>
                <w:tcPr>
                  <w:tcW w:w="1420" w:type="dxa"/>
                </w:tcPr>
                <w:p>
                  <w:pPr>
                    <w:rPr>
                      <w:color w:val="000000" w:themeColor="text1"/>
                      <w:sz w:val="18"/>
                      <w:szCs w:val="18"/>
                      <w14:textFill>
                        <w14:solidFill>
                          <w14:schemeClr w14:val="tx1"/>
                        </w14:solidFill>
                      </w14:textFill>
                    </w:rPr>
                  </w:pP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bl>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物流方式</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成品预期用途</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bl>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4" w:type="dxa"/>
            <w:vMerge w:val="restart"/>
            <w:shd w:val="clear" w:color="auto" w:fill="auto"/>
          </w:tcPr>
          <w:p>
            <w:pPr>
              <w:jc w:val="left"/>
            </w:pPr>
            <w:r>
              <w:t>危害控制计划 (HACCP/OPRP 计划)</w:t>
            </w:r>
            <w:r>
              <w:br w:type="textWrapping"/>
            </w:r>
          </w:p>
        </w:tc>
        <w:tc>
          <w:tcPr>
            <w:tcW w:w="936" w:type="dxa"/>
            <w:vMerge w:val="restart"/>
            <w:shd w:val="clear" w:color="auto" w:fill="auto"/>
          </w:tcPr>
          <w:p>
            <w:r>
              <w:t>F8.5.4</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危害控制</w:t>
            </w:r>
            <w:r>
              <w:t>计划》</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原辅料的验收</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a.畜、禽肉类的验收（O</w:t>
            </w:r>
            <w:r>
              <w:rPr>
                <w:rFonts w:asciiTheme="minorEastAsia" w:hAnsiTheme="minorEastAsia" w:eastAsiaTheme="minorEastAsia"/>
                <w:szCs w:val="21"/>
              </w:rPr>
              <w:t>PRP</w:t>
            </w:r>
            <w:r>
              <w:rPr>
                <w:rFonts w:hint="eastAsia" w:asciiTheme="minorEastAsia" w:hAnsiTheme="minorEastAsia" w:eastAsiaTheme="minorEastAsia"/>
                <w:szCs w:val="21"/>
              </w:rPr>
              <w:t>）</w:t>
            </w:r>
          </w:p>
          <w:tbl>
            <w:tblPr>
              <w:tblStyle w:val="11"/>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807"/>
              <w:gridCol w:w="1774"/>
              <w:gridCol w:w="1040"/>
              <w:gridCol w:w="938"/>
              <w:gridCol w:w="894"/>
              <w:gridCol w:w="878"/>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7" w:hRule="atLeast"/>
                <w:jc w:val="center"/>
              </w:trPr>
              <w:tc>
                <w:tcPr>
                  <w:tcW w:w="1319"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C</w:t>
                  </w:r>
                  <w:r>
                    <w:rPr>
                      <w:rFonts w:asciiTheme="minorEastAsia" w:hAnsiTheme="minorEastAsia" w:eastAsiaTheme="minorEastAsia"/>
                      <w:b/>
                      <w:sz w:val="18"/>
                      <w:szCs w:val="18"/>
                    </w:rPr>
                    <w:t>CP/OPRP</w:t>
                  </w:r>
                  <w:r>
                    <w:rPr>
                      <w:rFonts w:hint="eastAsia" w:asciiTheme="minorEastAsia" w:hAnsiTheme="minorEastAsia" w:eastAsiaTheme="minorEastAsia"/>
                      <w:b/>
                      <w:sz w:val="18"/>
                      <w:szCs w:val="18"/>
                    </w:rPr>
                    <w:t>点</w:t>
                  </w:r>
                </w:p>
              </w:tc>
              <w:tc>
                <w:tcPr>
                  <w:tcW w:w="1807"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显著危害</w:t>
                  </w:r>
                </w:p>
              </w:tc>
              <w:tc>
                <w:tcPr>
                  <w:tcW w:w="1774"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关键限值/行动准则</w:t>
                  </w:r>
                </w:p>
              </w:tc>
              <w:tc>
                <w:tcPr>
                  <w:tcW w:w="3750" w:type="dxa"/>
                  <w:gridSpan w:val="4"/>
                  <w:tcBorders>
                    <w:right w:val="nil"/>
                  </w:tcBorders>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监 控</w:t>
                  </w:r>
                </w:p>
              </w:tc>
              <w:tc>
                <w:tcPr>
                  <w:tcW w:w="1163"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记录</w:t>
                  </w:r>
                </w:p>
                <w:p>
                  <w:pPr>
                    <w:spacing w:line="220" w:lineRule="exact"/>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19" w:type="dxa"/>
                  <w:vMerge w:val="continue"/>
                  <w:vAlign w:val="center"/>
                </w:tcPr>
                <w:p>
                  <w:pPr>
                    <w:jc w:val="center"/>
                    <w:rPr>
                      <w:rFonts w:asciiTheme="minorEastAsia" w:hAnsiTheme="minorEastAsia" w:eastAsiaTheme="minorEastAsia"/>
                      <w:sz w:val="18"/>
                      <w:szCs w:val="18"/>
                    </w:rPr>
                  </w:pPr>
                </w:p>
              </w:tc>
              <w:tc>
                <w:tcPr>
                  <w:tcW w:w="1807" w:type="dxa"/>
                  <w:vMerge w:val="continue"/>
                  <w:vAlign w:val="center"/>
                </w:tcPr>
                <w:p>
                  <w:pPr>
                    <w:jc w:val="center"/>
                    <w:rPr>
                      <w:rFonts w:asciiTheme="minorEastAsia" w:hAnsiTheme="minorEastAsia" w:eastAsiaTheme="minorEastAsia"/>
                      <w:sz w:val="18"/>
                      <w:szCs w:val="18"/>
                    </w:rPr>
                  </w:pPr>
                </w:p>
              </w:tc>
              <w:tc>
                <w:tcPr>
                  <w:tcW w:w="1774" w:type="dxa"/>
                  <w:vMerge w:val="continue"/>
                  <w:vAlign w:val="center"/>
                </w:tcPr>
                <w:p>
                  <w:pPr>
                    <w:jc w:val="center"/>
                    <w:rPr>
                      <w:rFonts w:asciiTheme="minorEastAsia" w:hAnsiTheme="minorEastAsia" w:eastAsiaTheme="minorEastAsia"/>
                      <w:sz w:val="18"/>
                      <w:szCs w:val="18"/>
                    </w:rPr>
                  </w:pPr>
                </w:p>
              </w:tc>
              <w:tc>
                <w:tcPr>
                  <w:tcW w:w="1040"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对象</w:t>
                  </w:r>
                </w:p>
              </w:tc>
              <w:tc>
                <w:tcPr>
                  <w:tcW w:w="938"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方法</w:t>
                  </w:r>
                </w:p>
              </w:tc>
              <w:tc>
                <w:tcPr>
                  <w:tcW w:w="894"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频率</w:t>
                  </w:r>
                </w:p>
              </w:tc>
              <w:tc>
                <w:tcPr>
                  <w:tcW w:w="878"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人员</w:t>
                  </w:r>
                </w:p>
              </w:tc>
              <w:tc>
                <w:tcPr>
                  <w:tcW w:w="1163" w:type="dxa"/>
                  <w:vMerge w:val="continue"/>
                  <w:vAlign w:val="center"/>
                </w:tcPr>
                <w:p>
                  <w:pPr>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319" w:type="dxa"/>
                  <w:tcBorders>
                    <w:bottom w:val="single" w:color="auto" w:sz="4" w:space="0"/>
                  </w:tcBorders>
                  <w:vAlign w:val="center"/>
                </w:tcPr>
                <w:p>
                  <w:pPr>
                    <w:spacing w:line="220" w:lineRule="exact"/>
                    <w:rPr>
                      <w:rFonts w:hint="eastAsia" w:ascii="宋体" w:hAnsi="宋体"/>
                      <w:sz w:val="18"/>
                      <w:szCs w:val="18"/>
                    </w:rPr>
                  </w:pPr>
                  <w:r>
                    <w:rPr>
                      <w:rFonts w:ascii="宋体" w:hAnsi="宋体"/>
                      <w:sz w:val="18"/>
                      <w:szCs w:val="18"/>
                    </w:rPr>
                    <w:t>OPRP</w:t>
                  </w:r>
                  <w:r>
                    <w:rPr>
                      <w:rFonts w:hint="eastAsia" w:ascii="宋体" w:hAnsi="宋体"/>
                      <w:sz w:val="18"/>
                      <w:szCs w:val="18"/>
                    </w:rPr>
                    <w:t>：</w:t>
                  </w:r>
                </w:p>
                <w:p>
                  <w:pPr>
                    <w:spacing w:line="220" w:lineRule="exact"/>
                    <w:rPr>
                      <w:rFonts w:asciiTheme="minorEastAsia" w:hAnsiTheme="minorEastAsia" w:eastAsiaTheme="minorEastAsia"/>
                      <w:sz w:val="18"/>
                      <w:szCs w:val="18"/>
                    </w:rPr>
                  </w:pPr>
                  <w:r>
                    <w:rPr>
                      <w:rFonts w:hint="eastAsia" w:ascii="宋体" w:hAnsi="宋体"/>
                      <w:sz w:val="18"/>
                      <w:szCs w:val="18"/>
                    </w:rPr>
                    <w:t>畜禽肉类原料采购验收</w:t>
                  </w:r>
                </w:p>
              </w:tc>
              <w:tc>
                <w:tcPr>
                  <w:tcW w:w="1807"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宋体" w:hAnsi="宋体"/>
                      <w:sz w:val="18"/>
                      <w:szCs w:val="18"/>
                    </w:rPr>
                    <w:t>有害微生物、重金属、挥发性盐基氮、抗生素、促生长素等有害化学物质超标</w:t>
                  </w:r>
                </w:p>
              </w:tc>
              <w:tc>
                <w:tcPr>
                  <w:tcW w:w="1774" w:type="dxa"/>
                  <w:vAlign w:val="center"/>
                </w:tcPr>
                <w:p>
                  <w:pPr>
                    <w:spacing w:line="220" w:lineRule="exact"/>
                    <w:rPr>
                      <w:rFonts w:hint="eastAsia" w:ascii="宋体" w:hAnsi="宋体"/>
                      <w:sz w:val="18"/>
                      <w:szCs w:val="18"/>
                    </w:rPr>
                  </w:pPr>
                  <w:r>
                    <w:rPr>
                      <w:rFonts w:hint="eastAsia" w:ascii="宋体" w:hAnsi="宋体"/>
                      <w:sz w:val="18"/>
                      <w:szCs w:val="18"/>
                    </w:rPr>
                    <w:t>来自合格供方；</w:t>
                  </w:r>
                </w:p>
                <w:p>
                  <w:pPr>
                    <w:spacing w:line="220" w:lineRule="exact"/>
                    <w:rPr>
                      <w:rFonts w:hint="eastAsia" w:ascii="宋体" w:hAnsi="宋体"/>
                      <w:sz w:val="18"/>
                      <w:szCs w:val="18"/>
                    </w:rPr>
                  </w:pPr>
                  <w:r>
                    <w:rPr>
                      <w:rFonts w:hint="eastAsia" w:ascii="宋体" w:hAnsi="宋体"/>
                      <w:sz w:val="18"/>
                      <w:szCs w:val="18"/>
                    </w:rPr>
                    <w:t>动物检疫证明；</w:t>
                  </w:r>
                </w:p>
                <w:p>
                  <w:pPr>
                    <w:spacing w:line="220" w:lineRule="exact"/>
                    <w:rPr>
                      <w:rFonts w:asciiTheme="minorEastAsia" w:hAnsiTheme="minorEastAsia" w:eastAsiaTheme="minorEastAsia"/>
                      <w:sz w:val="18"/>
                      <w:szCs w:val="18"/>
                    </w:rPr>
                  </w:pPr>
                  <w:r>
                    <w:rPr>
                      <w:rFonts w:hint="eastAsia" w:ascii="宋体" w:hAnsi="宋体"/>
                      <w:sz w:val="18"/>
                      <w:szCs w:val="18"/>
                    </w:rPr>
                    <w:t>合格的产品检测报告</w:t>
                  </w:r>
                </w:p>
              </w:tc>
              <w:tc>
                <w:tcPr>
                  <w:tcW w:w="1040"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宋体" w:hAnsi="宋体"/>
                      <w:sz w:val="18"/>
                      <w:szCs w:val="18"/>
                    </w:rPr>
                    <w:t>合格供方</w:t>
                  </w:r>
                </w:p>
              </w:tc>
              <w:tc>
                <w:tcPr>
                  <w:tcW w:w="938"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宋体" w:hAnsi="宋体"/>
                      <w:sz w:val="18"/>
                      <w:szCs w:val="18"/>
                    </w:rPr>
                    <w:t>查验</w:t>
                  </w:r>
                </w:p>
              </w:tc>
              <w:tc>
                <w:tcPr>
                  <w:tcW w:w="894" w:type="dxa"/>
                  <w:vAlign w:val="center"/>
                </w:tcPr>
                <w:p>
                  <w:pPr>
                    <w:spacing w:line="220" w:lineRule="exact"/>
                    <w:rPr>
                      <w:rFonts w:asciiTheme="minorEastAsia" w:hAnsiTheme="minorEastAsia" w:eastAsiaTheme="minorEastAsia"/>
                      <w:sz w:val="18"/>
                      <w:szCs w:val="18"/>
                    </w:rPr>
                  </w:pPr>
                  <w:r>
                    <w:rPr>
                      <w:rFonts w:hint="eastAsia" w:ascii="宋体" w:hAnsi="宋体"/>
                      <w:sz w:val="18"/>
                      <w:szCs w:val="18"/>
                    </w:rPr>
                    <w:t>每批</w:t>
                  </w:r>
                </w:p>
              </w:tc>
              <w:tc>
                <w:tcPr>
                  <w:tcW w:w="878"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宋体" w:hAnsi="宋体"/>
                      <w:sz w:val="18"/>
                      <w:szCs w:val="18"/>
                    </w:rPr>
                    <w:t>验收员</w:t>
                  </w:r>
                </w:p>
              </w:tc>
              <w:tc>
                <w:tcPr>
                  <w:tcW w:w="1163" w:type="dxa"/>
                  <w:tcBorders>
                    <w:bottom w:val="single" w:color="auto" w:sz="4" w:space="0"/>
                  </w:tcBorders>
                  <w:vAlign w:val="center"/>
                </w:tcPr>
                <w:p>
                  <w:pPr>
                    <w:spacing w:line="220" w:lineRule="exact"/>
                    <w:rPr>
                      <w:rFonts w:asciiTheme="minorEastAsia" w:hAnsiTheme="minorEastAsia" w:eastAsiaTheme="minorEastAsia"/>
                      <w:snapToGrid w:val="0"/>
                      <w:sz w:val="18"/>
                      <w:szCs w:val="18"/>
                    </w:rPr>
                  </w:pPr>
                  <w:r>
                    <w:rPr>
                      <w:rFonts w:hint="eastAsia" w:asciiTheme="minorEastAsia" w:hAnsiTheme="minorEastAsia" w:eastAsiaTheme="minorEastAsia"/>
                      <w:snapToGrid w:val="0"/>
                      <w:sz w:val="18"/>
                      <w:szCs w:val="18"/>
                    </w:rPr>
                    <w:t>1.供方提供产品检疫、检验报告或证明</w:t>
                  </w:r>
                </w:p>
              </w:tc>
            </w:tr>
          </w:tbl>
          <w:p>
            <w:pPr>
              <w:spacing w:line="276" w:lineRule="auto"/>
              <w:rPr>
                <w:rFonts w:asciiTheme="minorEastAsia" w:hAnsiTheme="minorEastAsia" w:eastAsiaTheme="minorEastAsia"/>
                <w:szCs w:val="21"/>
              </w:rPr>
            </w:pPr>
          </w:p>
          <w:p>
            <w:pPr>
              <w:spacing w:line="276" w:lineRule="auto"/>
              <w:rPr>
                <w:rFonts w:asciiTheme="minorEastAsia" w:hAnsiTheme="minorEastAsia" w:eastAsiaTheme="minorEastAsia"/>
                <w:vanish/>
                <w:szCs w:val="21"/>
              </w:rPr>
            </w:pPr>
            <w:r>
              <w:rPr>
                <w:rFonts w:hint="eastAsia" w:asciiTheme="minorEastAsia" w:hAnsiTheme="minorEastAsia" w:eastAsiaTheme="minorEastAsia"/>
                <w:szCs w:val="21"/>
              </w:rPr>
              <w:t>b.冷冻水产类的验收</w:t>
            </w: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240"/>
              <w:gridCol w:w="1520"/>
              <w:gridCol w:w="1015"/>
              <w:gridCol w:w="932"/>
              <w:gridCol w:w="873"/>
              <w:gridCol w:w="777"/>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897"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C</w:t>
                  </w:r>
                  <w:r>
                    <w:rPr>
                      <w:rFonts w:asciiTheme="minorEastAsia" w:hAnsiTheme="minorEastAsia" w:eastAsiaTheme="minorEastAsia"/>
                      <w:b/>
                      <w:sz w:val="18"/>
                      <w:szCs w:val="18"/>
                    </w:rPr>
                    <w:t>CP/OPRP</w:t>
                  </w:r>
                  <w:r>
                    <w:rPr>
                      <w:rFonts w:hint="eastAsia" w:asciiTheme="minorEastAsia" w:hAnsiTheme="minorEastAsia" w:eastAsiaTheme="minorEastAsia"/>
                      <w:b/>
                      <w:sz w:val="18"/>
                      <w:szCs w:val="18"/>
                    </w:rPr>
                    <w:t>点</w:t>
                  </w:r>
                </w:p>
              </w:tc>
              <w:tc>
                <w:tcPr>
                  <w:tcW w:w="1240"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显著危害</w:t>
                  </w:r>
                </w:p>
                <w:p>
                  <w:pPr>
                    <w:spacing w:line="220" w:lineRule="exact"/>
                    <w:rPr>
                      <w:rFonts w:asciiTheme="minorEastAsia" w:hAnsiTheme="minorEastAsia" w:eastAsiaTheme="minorEastAsia"/>
                      <w:b/>
                      <w:sz w:val="18"/>
                      <w:szCs w:val="18"/>
                    </w:rPr>
                  </w:pPr>
                </w:p>
              </w:tc>
              <w:tc>
                <w:tcPr>
                  <w:tcW w:w="1520"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关  键  限  值/行动准则</w:t>
                  </w:r>
                </w:p>
              </w:tc>
              <w:tc>
                <w:tcPr>
                  <w:tcW w:w="3597" w:type="dxa"/>
                  <w:gridSpan w:val="4"/>
                  <w:tcBorders>
                    <w:right w:val="nil"/>
                  </w:tcBorders>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监  控</w:t>
                  </w:r>
                </w:p>
              </w:tc>
              <w:tc>
                <w:tcPr>
                  <w:tcW w:w="1385"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记录</w:t>
                  </w:r>
                </w:p>
                <w:p>
                  <w:pPr>
                    <w:spacing w:line="220" w:lineRule="exact"/>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897" w:type="dxa"/>
                  <w:vMerge w:val="continue"/>
                  <w:tcBorders>
                    <w:bottom w:val="single" w:color="auto" w:sz="4" w:space="0"/>
                  </w:tcBorders>
                  <w:vAlign w:val="center"/>
                </w:tcPr>
                <w:p>
                  <w:pPr>
                    <w:spacing w:line="220" w:lineRule="exact"/>
                    <w:rPr>
                      <w:rFonts w:asciiTheme="minorEastAsia" w:hAnsiTheme="minorEastAsia" w:eastAsiaTheme="minorEastAsia"/>
                      <w:sz w:val="18"/>
                      <w:szCs w:val="18"/>
                    </w:rPr>
                  </w:pPr>
                </w:p>
              </w:tc>
              <w:tc>
                <w:tcPr>
                  <w:tcW w:w="1240" w:type="dxa"/>
                  <w:vMerge w:val="continue"/>
                  <w:vAlign w:val="center"/>
                </w:tcPr>
                <w:p>
                  <w:pPr>
                    <w:spacing w:line="220" w:lineRule="exact"/>
                    <w:rPr>
                      <w:rFonts w:asciiTheme="minorEastAsia" w:hAnsiTheme="minorEastAsia" w:eastAsiaTheme="minorEastAsia"/>
                      <w:sz w:val="18"/>
                      <w:szCs w:val="18"/>
                    </w:rPr>
                  </w:pPr>
                </w:p>
              </w:tc>
              <w:tc>
                <w:tcPr>
                  <w:tcW w:w="1520" w:type="dxa"/>
                  <w:vMerge w:val="continue"/>
                  <w:vAlign w:val="center"/>
                </w:tcPr>
                <w:p>
                  <w:pPr>
                    <w:spacing w:line="220" w:lineRule="exact"/>
                    <w:rPr>
                      <w:rFonts w:asciiTheme="minorEastAsia" w:hAnsiTheme="minorEastAsia" w:eastAsiaTheme="minorEastAsia"/>
                      <w:sz w:val="18"/>
                      <w:szCs w:val="18"/>
                    </w:rPr>
                  </w:pPr>
                </w:p>
              </w:tc>
              <w:tc>
                <w:tcPr>
                  <w:tcW w:w="1015" w:type="dxa"/>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对象</w:t>
                  </w:r>
                </w:p>
              </w:tc>
              <w:tc>
                <w:tcPr>
                  <w:tcW w:w="932" w:type="dxa"/>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方法</w:t>
                  </w:r>
                </w:p>
              </w:tc>
              <w:tc>
                <w:tcPr>
                  <w:tcW w:w="873" w:type="dxa"/>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频率</w:t>
                  </w:r>
                </w:p>
              </w:tc>
              <w:tc>
                <w:tcPr>
                  <w:tcW w:w="777" w:type="dxa"/>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人员</w:t>
                  </w:r>
                </w:p>
              </w:tc>
              <w:tc>
                <w:tcPr>
                  <w:tcW w:w="1385" w:type="dxa"/>
                  <w:vMerge w:val="continue"/>
                  <w:vAlign w:val="center"/>
                </w:tcPr>
                <w:p>
                  <w:pPr>
                    <w:spacing w:line="22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1897" w:type="dxa"/>
                  <w:tcBorders>
                    <w:top w:val="single" w:color="auto" w:sz="4" w:space="0"/>
                    <w:bottom w:val="single" w:color="auto" w:sz="4" w:space="0"/>
                  </w:tcBorders>
                  <w:vAlign w:val="center"/>
                </w:tcPr>
                <w:p>
                  <w:pPr>
                    <w:spacing w:line="220" w:lineRule="exact"/>
                    <w:rPr>
                      <w:rFonts w:hint="eastAsia" w:ascii="宋体" w:hAnsi="宋体"/>
                      <w:snapToGrid w:val="0"/>
                      <w:color w:val="000000"/>
                      <w:sz w:val="18"/>
                      <w:szCs w:val="18"/>
                    </w:rPr>
                  </w:pPr>
                  <w:r>
                    <w:rPr>
                      <w:rFonts w:ascii="宋体" w:hAnsi="宋体"/>
                      <w:sz w:val="18"/>
                      <w:szCs w:val="18"/>
                    </w:rPr>
                    <w:t>OPRP</w:t>
                  </w:r>
                  <w:r>
                    <w:rPr>
                      <w:rFonts w:hint="eastAsia" w:ascii="宋体" w:hAnsi="宋体"/>
                      <w:snapToGrid w:val="0"/>
                      <w:color w:val="000000"/>
                      <w:sz w:val="18"/>
                      <w:szCs w:val="18"/>
                    </w:rPr>
                    <w:t xml:space="preserve"> ：</w:t>
                  </w:r>
                </w:p>
                <w:p>
                  <w:pPr>
                    <w:spacing w:line="220" w:lineRule="exact"/>
                    <w:rPr>
                      <w:rFonts w:asciiTheme="minorEastAsia" w:hAnsiTheme="minorEastAsia" w:eastAsiaTheme="minorEastAsia"/>
                      <w:snapToGrid w:val="0"/>
                      <w:color w:val="000000"/>
                      <w:sz w:val="18"/>
                      <w:szCs w:val="18"/>
                    </w:rPr>
                  </w:pPr>
                  <w:r>
                    <w:rPr>
                      <w:rFonts w:hint="eastAsia" w:ascii="宋体" w:hAnsi="宋体"/>
                      <w:color w:val="000000"/>
                      <w:sz w:val="18"/>
                      <w:szCs w:val="18"/>
                    </w:rPr>
                    <w:t>冷冻水产类的验收</w:t>
                  </w:r>
                </w:p>
              </w:tc>
              <w:tc>
                <w:tcPr>
                  <w:tcW w:w="1240" w:type="dxa"/>
                  <w:tcBorders>
                    <w:bottom w:val="single" w:color="auto" w:sz="4" w:space="0"/>
                  </w:tcBorders>
                  <w:vAlign w:val="center"/>
                </w:tcPr>
                <w:p>
                  <w:pPr>
                    <w:spacing w:line="220" w:lineRule="exact"/>
                    <w:rPr>
                      <w:rFonts w:asciiTheme="minorEastAsia" w:hAnsiTheme="minorEastAsia" w:eastAsiaTheme="minorEastAsia"/>
                      <w:color w:val="000000"/>
                      <w:sz w:val="18"/>
                      <w:szCs w:val="18"/>
                    </w:rPr>
                  </w:pPr>
                  <w:r>
                    <w:rPr>
                      <w:rFonts w:hint="eastAsia" w:ascii="宋体" w:hAnsi="宋体"/>
                      <w:bCs/>
                      <w:color w:val="000000"/>
                      <w:sz w:val="18"/>
                      <w:szCs w:val="18"/>
                    </w:rPr>
                    <w:t>病原体存活</w:t>
                  </w:r>
                </w:p>
              </w:tc>
              <w:tc>
                <w:tcPr>
                  <w:tcW w:w="1520" w:type="dxa"/>
                  <w:tcBorders>
                    <w:bottom w:val="single" w:color="auto" w:sz="4" w:space="0"/>
                  </w:tcBorders>
                  <w:vAlign w:val="center"/>
                </w:tcPr>
                <w:p>
                  <w:pPr>
                    <w:spacing w:line="220" w:lineRule="exact"/>
                    <w:rPr>
                      <w:rFonts w:asciiTheme="minorEastAsia" w:hAnsiTheme="minorEastAsia" w:eastAsiaTheme="minorEastAsia"/>
                      <w:color w:val="000000"/>
                      <w:sz w:val="18"/>
                      <w:szCs w:val="18"/>
                    </w:rPr>
                  </w:pPr>
                  <w:r>
                    <w:rPr>
                      <w:rFonts w:hint="eastAsia" w:ascii="宋体" w:hAnsi="宋体"/>
                      <w:bCs/>
                      <w:color w:val="000000"/>
                      <w:sz w:val="18"/>
                      <w:szCs w:val="18"/>
                    </w:rPr>
                    <w:t>深冷产品＜－18℃</w:t>
                  </w:r>
                </w:p>
              </w:tc>
              <w:tc>
                <w:tcPr>
                  <w:tcW w:w="1015" w:type="dxa"/>
                  <w:vAlign w:val="center"/>
                </w:tcPr>
                <w:p>
                  <w:pPr>
                    <w:spacing w:line="220" w:lineRule="exact"/>
                    <w:rPr>
                      <w:rFonts w:asciiTheme="minorEastAsia" w:hAnsiTheme="minorEastAsia" w:eastAsiaTheme="minorEastAsia"/>
                      <w:color w:val="000000"/>
                      <w:sz w:val="18"/>
                      <w:szCs w:val="18"/>
                    </w:rPr>
                  </w:pPr>
                  <w:r>
                    <w:rPr>
                      <w:rFonts w:hint="eastAsia" w:ascii="宋体" w:hAnsi="宋体"/>
                      <w:color w:val="000000"/>
                      <w:sz w:val="18"/>
                      <w:szCs w:val="18"/>
                    </w:rPr>
                    <w:t>产品温度</w:t>
                  </w:r>
                </w:p>
              </w:tc>
              <w:tc>
                <w:tcPr>
                  <w:tcW w:w="932" w:type="dxa"/>
                  <w:vAlign w:val="center"/>
                </w:tcPr>
                <w:p>
                  <w:pPr>
                    <w:spacing w:line="220" w:lineRule="exact"/>
                    <w:rPr>
                      <w:rFonts w:asciiTheme="minorEastAsia" w:hAnsiTheme="minorEastAsia" w:eastAsiaTheme="minorEastAsia"/>
                      <w:color w:val="000000"/>
                      <w:sz w:val="18"/>
                      <w:szCs w:val="18"/>
                    </w:rPr>
                  </w:pPr>
                  <w:r>
                    <w:rPr>
                      <w:rFonts w:hint="eastAsia" w:ascii="宋体" w:hAnsi="宋体"/>
                      <w:color w:val="000000"/>
                      <w:sz w:val="18"/>
                      <w:szCs w:val="18"/>
                    </w:rPr>
                    <w:t>温度测量</w:t>
                  </w:r>
                </w:p>
              </w:tc>
              <w:tc>
                <w:tcPr>
                  <w:tcW w:w="873" w:type="dxa"/>
                  <w:vAlign w:val="center"/>
                </w:tcPr>
                <w:p>
                  <w:pPr>
                    <w:spacing w:line="220" w:lineRule="exact"/>
                    <w:rPr>
                      <w:rFonts w:asciiTheme="minorEastAsia" w:hAnsiTheme="minorEastAsia" w:eastAsiaTheme="minorEastAsia"/>
                      <w:sz w:val="18"/>
                      <w:szCs w:val="18"/>
                    </w:rPr>
                  </w:pPr>
                  <w:r>
                    <w:rPr>
                      <w:rFonts w:hint="eastAsia" w:ascii="宋体" w:hAnsi="宋体"/>
                      <w:sz w:val="18"/>
                      <w:szCs w:val="18"/>
                    </w:rPr>
                    <w:t xml:space="preserve"> 每批</w:t>
                  </w:r>
                </w:p>
              </w:tc>
              <w:tc>
                <w:tcPr>
                  <w:tcW w:w="777"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宋体" w:hAnsi="宋体"/>
                      <w:sz w:val="18"/>
                      <w:szCs w:val="18"/>
                    </w:rPr>
                    <w:t>验收员</w:t>
                  </w:r>
                </w:p>
              </w:tc>
              <w:tc>
                <w:tcPr>
                  <w:tcW w:w="1385" w:type="dxa"/>
                  <w:tcBorders>
                    <w:bottom w:val="single" w:color="auto" w:sz="4" w:space="0"/>
                  </w:tcBorders>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napToGrid w:val="0"/>
                      <w:sz w:val="18"/>
                      <w:szCs w:val="18"/>
                    </w:rPr>
                    <w:t>产品进货验收记录</w:t>
                  </w:r>
                </w:p>
              </w:tc>
            </w:tr>
          </w:tbl>
          <w:p>
            <w:pPr>
              <w:spacing w:line="276" w:lineRule="auto"/>
              <w:rPr>
                <w:rFonts w:hint="eastAsia" w:asciiTheme="minorEastAsia" w:hAnsiTheme="minorEastAsia" w:eastAsiaTheme="minorEastAsia"/>
                <w:szCs w:val="21"/>
              </w:rPr>
            </w:pP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关键控制点（CCP）</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冷冻、冷藏储存：</w:t>
            </w:r>
          </w:p>
          <w:tbl>
            <w:tblPr>
              <w:tblStyle w:val="11"/>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868"/>
              <w:gridCol w:w="1597"/>
              <w:gridCol w:w="988"/>
              <w:gridCol w:w="988"/>
              <w:gridCol w:w="988"/>
              <w:gridCol w:w="997"/>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737"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关键控制点（CCP）（1）</w:t>
                  </w:r>
                </w:p>
              </w:tc>
              <w:tc>
                <w:tcPr>
                  <w:tcW w:w="868"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显著危害</w:t>
                  </w:r>
                </w:p>
              </w:tc>
              <w:tc>
                <w:tcPr>
                  <w:tcW w:w="1597"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关键限值</w:t>
                  </w:r>
                </w:p>
              </w:tc>
              <w:tc>
                <w:tcPr>
                  <w:tcW w:w="3961" w:type="dxa"/>
                  <w:gridSpan w:val="4"/>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监控</w:t>
                  </w:r>
                </w:p>
              </w:tc>
              <w:tc>
                <w:tcPr>
                  <w:tcW w:w="1305"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7" w:type="dxa"/>
                  <w:vMerge w:val="continue"/>
                  <w:shd w:val="clear" w:color="auto" w:fill="auto"/>
                  <w:vAlign w:val="center"/>
                </w:tcPr>
                <w:p>
                  <w:pPr>
                    <w:spacing w:line="220" w:lineRule="exact"/>
                    <w:jc w:val="center"/>
                    <w:rPr>
                      <w:rFonts w:asciiTheme="minorEastAsia" w:hAnsiTheme="minorEastAsia" w:eastAsiaTheme="minorEastAsia"/>
                      <w:szCs w:val="21"/>
                    </w:rPr>
                  </w:pPr>
                </w:p>
              </w:tc>
              <w:tc>
                <w:tcPr>
                  <w:tcW w:w="868" w:type="dxa"/>
                  <w:vMerge w:val="continue"/>
                  <w:shd w:val="clear" w:color="auto" w:fill="auto"/>
                  <w:vAlign w:val="center"/>
                </w:tcPr>
                <w:p>
                  <w:pPr>
                    <w:spacing w:line="220" w:lineRule="exact"/>
                    <w:jc w:val="center"/>
                    <w:rPr>
                      <w:rFonts w:asciiTheme="minorEastAsia" w:hAnsiTheme="minorEastAsia" w:eastAsiaTheme="minorEastAsia"/>
                      <w:szCs w:val="21"/>
                    </w:rPr>
                  </w:pPr>
                </w:p>
              </w:tc>
              <w:tc>
                <w:tcPr>
                  <w:tcW w:w="1597" w:type="dxa"/>
                  <w:vMerge w:val="continue"/>
                  <w:shd w:val="clear" w:color="auto" w:fill="auto"/>
                  <w:vAlign w:val="center"/>
                </w:tcPr>
                <w:p>
                  <w:pPr>
                    <w:spacing w:line="220" w:lineRule="exact"/>
                    <w:jc w:val="center"/>
                    <w:rPr>
                      <w:rFonts w:asciiTheme="minorEastAsia" w:hAnsiTheme="minorEastAsia" w:eastAsiaTheme="minorEastAsia"/>
                      <w:szCs w:val="21"/>
                    </w:rPr>
                  </w:pPr>
                </w:p>
              </w:tc>
              <w:tc>
                <w:tcPr>
                  <w:tcW w:w="988"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对象</w:t>
                  </w:r>
                </w:p>
              </w:tc>
              <w:tc>
                <w:tcPr>
                  <w:tcW w:w="988"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方法</w:t>
                  </w:r>
                </w:p>
              </w:tc>
              <w:tc>
                <w:tcPr>
                  <w:tcW w:w="988"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频率</w:t>
                  </w:r>
                </w:p>
              </w:tc>
              <w:tc>
                <w:tcPr>
                  <w:tcW w:w="997"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人员</w:t>
                  </w:r>
                </w:p>
              </w:tc>
              <w:tc>
                <w:tcPr>
                  <w:tcW w:w="1305" w:type="dxa"/>
                  <w:vMerge w:val="continue"/>
                  <w:shd w:val="clear" w:color="auto" w:fill="auto"/>
                  <w:vAlign w:val="center"/>
                </w:tcPr>
                <w:p>
                  <w:pPr>
                    <w:spacing w:line="22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737" w:type="dxa"/>
                  <w:shd w:val="clear" w:color="auto" w:fill="auto"/>
                  <w:vAlign w:val="center"/>
                </w:tcPr>
                <w:p>
                  <w:pPr>
                    <w:spacing w:line="220" w:lineRule="exact"/>
                    <w:jc w:val="center"/>
                    <w:rPr>
                      <w:rFonts w:hint="eastAsia" w:ascii="宋体" w:hAnsi="宋体"/>
                      <w:b/>
                      <w:sz w:val="18"/>
                      <w:szCs w:val="18"/>
                    </w:rPr>
                  </w:pPr>
                  <w:r>
                    <w:rPr>
                      <w:rFonts w:hint="eastAsia" w:ascii="宋体" w:hAnsi="宋体"/>
                      <w:b/>
                      <w:sz w:val="18"/>
                      <w:szCs w:val="18"/>
                    </w:rPr>
                    <w:t>CCP</w:t>
                  </w:r>
                  <w:r>
                    <w:rPr>
                      <w:rFonts w:ascii="宋体" w:hAnsi="宋体"/>
                      <w:b/>
                      <w:sz w:val="18"/>
                      <w:szCs w:val="18"/>
                    </w:rPr>
                    <w:t>1</w:t>
                  </w:r>
                  <w:r>
                    <w:rPr>
                      <w:rFonts w:hint="eastAsia" w:ascii="宋体" w:hAnsi="宋体"/>
                      <w:b/>
                      <w:sz w:val="18"/>
                      <w:szCs w:val="18"/>
                    </w:rPr>
                    <w:t>：</w:t>
                  </w:r>
                </w:p>
                <w:p>
                  <w:pPr>
                    <w:spacing w:line="220" w:lineRule="exact"/>
                    <w:jc w:val="center"/>
                    <w:rPr>
                      <w:rFonts w:asciiTheme="minorEastAsia" w:hAnsiTheme="minorEastAsia" w:eastAsiaTheme="minorEastAsia"/>
                      <w:szCs w:val="21"/>
                    </w:rPr>
                  </w:pPr>
                  <w:r>
                    <w:rPr>
                      <w:rFonts w:hint="eastAsia" w:ascii="宋体" w:hAnsi="宋体"/>
                      <w:b/>
                      <w:sz w:val="18"/>
                      <w:szCs w:val="18"/>
                    </w:rPr>
                    <w:t>禽肉类原料的冷冻、冷藏储存</w:t>
                  </w:r>
                </w:p>
              </w:tc>
              <w:tc>
                <w:tcPr>
                  <w:tcW w:w="868" w:type="dxa"/>
                  <w:shd w:val="clear" w:color="auto" w:fill="auto"/>
                  <w:vAlign w:val="center"/>
                </w:tcPr>
                <w:p>
                  <w:pPr>
                    <w:spacing w:line="220" w:lineRule="exact"/>
                    <w:jc w:val="center"/>
                    <w:rPr>
                      <w:rFonts w:asciiTheme="minorEastAsia" w:hAnsiTheme="minorEastAsia" w:eastAsiaTheme="minorEastAsia"/>
                      <w:szCs w:val="21"/>
                    </w:rPr>
                  </w:pPr>
                  <w:r>
                    <w:rPr>
                      <w:rFonts w:hint="eastAsia" w:ascii="宋体" w:hAnsi="宋体"/>
                      <w:sz w:val="18"/>
                      <w:szCs w:val="18"/>
                    </w:rPr>
                    <w:t>病原体存活</w:t>
                  </w:r>
                </w:p>
              </w:tc>
              <w:tc>
                <w:tcPr>
                  <w:tcW w:w="1597" w:type="dxa"/>
                  <w:shd w:val="clear" w:color="auto" w:fill="auto"/>
                  <w:vAlign w:val="center"/>
                </w:tcPr>
                <w:p>
                  <w:pPr>
                    <w:spacing w:line="220" w:lineRule="exact"/>
                    <w:jc w:val="center"/>
                    <w:rPr>
                      <w:rFonts w:hint="eastAsia" w:ascii="宋体" w:hAnsi="宋体"/>
                      <w:sz w:val="18"/>
                      <w:szCs w:val="18"/>
                    </w:rPr>
                  </w:pPr>
                  <w:r>
                    <w:rPr>
                      <w:rFonts w:hint="eastAsia" w:ascii="宋体" w:hAnsi="宋体"/>
                      <w:sz w:val="18"/>
                      <w:szCs w:val="18"/>
                    </w:rPr>
                    <w:t>冻结库温度</w:t>
                  </w:r>
                </w:p>
                <w:p>
                  <w:pPr>
                    <w:spacing w:line="220" w:lineRule="exact"/>
                    <w:jc w:val="center"/>
                    <w:rPr>
                      <w:rFonts w:asciiTheme="minorEastAsia" w:hAnsiTheme="minorEastAsia" w:eastAsiaTheme="minorEastAsia"/>
                      <w:szCs w:val="21"/>
                    </w:rPr>
                  </w:pPr>
                  <w:r>
                    <w:rPr>
                      <w:rFonts w:hint="eastAsia" w:ascii="宋体" w:hAnsi="宋体"/>
                      <w:sz w:val="18"/>
                      <w:szCs w:val="18"/>
                    </w:rPr>
                    <w:t>-15~-20℃以下。冷藏库温度保持0~</w:t>
                  </w:r>
                  <w:r>
                    <w:rPr>
                      <w:rFonts w:ascii="宋体" w:hAnsi="宋体"/>
                      <w:sz w:val="18"/>
                      <w:szCs w:val="18"/>
                    </w:rPr>
                    <w:t>1</w:t>
                  </w:r>
                  <w:r>
                    <w:rPr>
                      <w:rFonts w:hint="eastAsia" w:ascii="宋体" w:hAnsi="宋体"/>
                      <w:sz w:val="18"/>
                      <w:szCs w:val="18"/>
                    </w:rPr>
                    <w:t>0℃。</w:t>
                  </w:r>
                </w:p>
              </w:tc>
              <w:tc>
                <w:tcPr>
                  <w:tcW w:w="988" w:type="dxa"/>
                  <w:shd w:val="clear" w:color="auto" w:fill="auto"/>
                  <w:vAlign w:val="center"/>
                </w:tcPr>
                <w:p>
                  <w:pPr>
                    <w:spacing w:line="220" w:lineRule="exact"/>
                    <w:jc w:val="center"/>
                    <w:rPr>
                      <w:rFonts w:asciiTheme="minorEastAsia" w:hAnsiTheme="minorEastAsia" w:eastAsiaTheme="minorEastAsia"/>
                      <w:szCs w:val="21"/>
                    </w:rPr>
                  </w:pPr>
                  <w:r>
                    <w:rPr>
                      <w:rFonts w:hint="eastAsia" w:ascii="宋体" w:hAnsi="宋体"/>
                      <w:sz w:val="18"/>
                      <w:szCs w:val="18"/>
                    </w:rPr>
                    <w:t>区分放置并隔离，控制温湿度</w:t>
                  </w:r>
                </w:p>
              </w:tc>
              <w:tc>
                <w:tcPr>
                  <w:tcW w:w="988" w:type="dxa"/>
                  <w:shd w:val="clear" w:color="auto" w:fill="auto"/>
                  <w:vAlign w:val="center"/>
                </w:tcPr>
                <w:p>
                  <w:pPr>
                    <w:spacing w:line="220" w:lineRule="exact"/>
                    <w:jc w:val="center"/>
                    <w:rPr>
                      <w:rFonts w:asciiTheme="minorEastAsia" w:hAnsiTheme="minorEastAsia" w:eastAsiaTheme="minorEastAsia"/>
                      <w:szCs w:val="21"/>
                    </w:rPr>
                  </w:pPr>
                  <w:r>
                    <w:rPr>
                      <w:rFonts w:hint="eastAsia" w:ascii="宋体" w:hAnsi="宋体"/>
                      <w:sz w:val="18"/>
                      <w:szCs w:val="18"/>
                    </w:rPr>
                    <w:t>观察</w:t>
                  </w:r>
                </w:p>
              </w:tc>
              <w:tc>
                <w:tcPr>
                  <w:tcW w:w="988" w:type="dxa"/>
                  <w:shd w:val="clear" w:color="auto" w:fill="auto"/>
                  <w:vAlign w:val="center"/>
                </w:tcPr>
                <w:p>
                  <w:pPr>
                    <w:spacing w:line="220" w:lineRule="exact"/>
                    <w:jc w:val="center"/>
                    <w:rPr>
                      <w:rFonts w:asciiTheme="minorEastAsia" w:hAnsiTheme="minorEastAsia" w:eastAsiaTheme="minorEastAsia"/>
                      <w:szCs w:val="21"/>
                    </w:rPr>
                  </w:pPr>
                  <w:r>
                    <w:rPr>
                      <w:rFonts w:hint="eastAsia" w:ascii="宋体" w:hAnsi="宋体"/>
                      <w:sz w:val="18"/>
                      <w:szCs w:val="18"/>
                    </w:rPr>
                    <w:t>每天</w:t>
                  </w:r>
                </w:p>
              </w:tc>
              <w:tc>
                <w:tcPr>
                  <w:tcW w:w="997" w:type="dxa"/>
                  <w:shd w:val="clear" w:color="auto" w:fill="auto"/>
                  <w:vAlign w:val="center"/>
                </w:tcPr>
                <w:p>
                  <w:pPr>
                    <w:spacing w:line="220" w:lineRule="exact"/>
                    <w:jc w:val="center"/>
                    <w:rPr>
                      <w:rFonts w:asciiTheme="minorEastAsia" w:hAnsiTheme="minorEastAsia" w:eastAsiaTheme="minorEastAsia"/>
                      <w:szCs w:val="21"/>
                    </w:rPr>
                  </w:pPr>
                  <w:r>
                    <w:rPr>
                      <w:rFonts w:hint="eastAsia" w:ascii="宋体" w:hAnsi="宋体"/>
                      <w:sz w:val="18"/>
                      <w:szCs w:val="18"/>
                    </w:rPr>
                    <w:t>仓管员</w:t>
                  </w:r>
                </w:p>
              </w:tc>
              <w:tc>
                <w:tcPr>
                  <w:tcW w:w="1305" w:type="dxa"/>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napToGrid w:val="0"/>
                      <w:szCs w:val="21"/>
                    </w:rPr>
                    <w:t>巡查记录表</w:t>
                  </w:r>
                </w:p>
              </w:tc>
            </w:tr>
          </w:tbl>
          <w:p>
            <w:pPr>
              <w:spacing w:line="276" w:lineRule="auto"/>
              <w:rPr>
                <w:rFonts w:asciiTheme="minorEastAsia" w:hAnsiTheme="minorEastAsia" w:eastAsiaTheme="minorEastAsia"/>
                <w:szCs w:val="21"/>
              </w:rPr>
            </w:pP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配送</w:t>
            </w:r>
          </w:p>
          <w:tbl>
            <w:tblPr>
              <w:tblStyle w:val="11"/>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276"/>
              <w:gridCol w:w="1559"/>
              <w:gridCol w:w="1092"/>
              <w:gridCol w:w="993"/>
              <w:gridCol w:w="993"/>
              <w:gridCol w:w="994"/>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96"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关键控制点（CCP）</w:t>
                  </w:r>
                </w:p>
              </w:tc>
              <w:tc>
                <w:tcPr>
                  <w:tcW w:w="1276"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显著危害          </w:t>
                  </w:r>
                </w:p>
              </w:tc>
              <w:tc>
                <w:tcPr>
                  <w:tcW w:w="1559"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关键限值</w:t>
                  </w:r>
                </w:p>
              </w:tc>
              <w:tc>
                <w:tcPr>
                  <w:tcW w:w="4072" w:type="dxa"/>
                  <w:gridSpan w:val="4"/>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监控</w:t>
                  </w:r>
                </w:p>
              </w:tc>
              <w:tc>
                <w:tcPr>
                  <w:tcW w:w="1317" w:type="dxa"/>
                  <w:vMerge w:val="restart"/>
                  <w:shd w:val="clear" w:color="auto" w:fill="auto"/>
                  <w:vAlign w:val="center"/>
                </w:tcPr>
                <w:p>
                  <w:pPr>
                    <w:spacing w:line="220" w:lineRule="exact"/>
                    <w:jc w:val="center"/>
                    <w:rPr>
                      <w:rFonts w:asciiTheme="minorEastAsia" w:hAnsiTheme="minorEastAsia" w:eastAsiaTheme="minorEastAsia"/>
                      <w:szCs w:val="21"/>
                    </w:rPr>
                  </w:pPr>
                  <w:r>
                    <w:rPr>
                      <w:rFonts w:hint="eastAsia" w:asciiTheme="minorEastAsia" w:hAnsiTheme="minorEastAsia" w:eastAsiaTheme="minorEastAsia"/>
                      <w:szCs w:val="21"/>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596" w:type="dxa"/>
                  <w:vMerge w:val="continue"/>
                  <w:shd w:val="clear" w:color="auto" w:fill="auto"/>
                  <w:vAlign w:val="center"/>
                </w:tcPr>
                <w:p>
                  <w:pPr>
                    <w:spacing w:line="220" w:lineRule="exact"/>
                    <w:rPr>
                      <w:rFonts w:asciiTheme="minorEastAsia" w:hAnsiTheme="minorEastAsia" w:eastAsiaTheme="minorEastAsia"/>
                      <w:szCs w:val="21"/>
                    </w:rPr>
                  </w:pPr>
                </w:p>
              </w:tc>
              <w:tc>
                <w:tcPr>
                  <w:tcW w:w="1276" w:type="dxa"/>
                  <w:vMerge w:val="continue"/>
                  <w:shd w:val="clear" w:color="auto" w:fill="auto"/>
                  <w:vAlign w:val="center"/>
                </w:tcPr>
                <w:p>
                  <w:pPr>
                    <w:spacing w:line="220" w:lineRule="exact"/>
                    <w:rPr>
                      <w:rFonts w:asciiTheme="minorEastAsia" w:hAnsiTheme="minorEastAsia" w:eastAsiaTheme="minorEastAsia"/>
                      <w:szCs w:val="21"/>
                    </w:rPr>
                  </w:pPr>
                </w:p>
              </w:tc>
              <w:tc>
                <w:tcPr>
                  <w:tcW w:w="1559" w:type="dxa"/>
                  <w:vMerge w:val="continue"/>
                  <w:shd w:val="clear" w:color="auto" w:fill="auto"/>
                  <w:vAlign w:val="center"/>
                </w:tcPr>
                <w:p>
                  <w:pPr>
                    <w:spacing w:line="220" w:lineRule="exact"/>
                    <w:rPr>
                      <w:rFonts w:asciiTheme="minorEastAsia" w:hAnsiTheme="minorEastAsia" w:eastAsiaTheme="minorEastAsia"/>
                      <w:szCs w:val="21"/>
                    </w:rPr>
                  </w:pPr>
                </w:p>
              </w:tc>
              <w:tc>
                <w:tcPr>
                  <w:tcW w:w="1092"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对象</w:t>
                  </w:r>
                </w:p>
              </w:tc>
              <w:tc>
                <w:tcPr>
                  <w:tcW w:w="993"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方法</w:t>
                  </w:r>
                </w:p>
              </w:tc>
              <w:tc>
                <w:tcPr>
                  <w:tcW w:w="993"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频率</w:t>
                  </w:r>
                </w:p>
              </w:tc>
              <w:tc>
                <w:tcPr>
                  <w:tcW w:w="994"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zCs w:val="21"/>
                    </w:rPr>
                    <w:t>人员</w:t>
                  </w:r>
                </w:p>
              </w:tc>
              <w:tc>
                <w:tcPr>
                  <w:tcW w:w="1317" w:type="dxa"/>
                  <w:vMerge w:val="continue"/>
                  <w:shd w:val="clear" w:color="auto" w:fill="auto"/>
                  <w:vAlign w:val="center"/>
                </w:tcPr>
                <w:p>
                  <w:pPr>
                    <w:spacing w:line="2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596" w:type="dxa"/>
                  <w:shd w:val="clear" w:color="auto" w:fill="auto"/>
                  <w:vAlign w:val="center"/>
                </w:tcPr>
                <w:p>
                  <w:pPr>
                    <w:spacing w:line="220" w:lineRule="exact"/>
                    <w:rPr>
                      <w:rFonts w:asciiTheme="minorEastAsia" w:hAnsiTheme="minorEastAsia" w:eastAsiaTheme="minorEastAsia"/>
                      <w:b/>
                      <w:szCs w:val="21"/>
                    </w:rPr>
                  </w:pPr>
                  <w:r>
                    <w:rPr>
                      <w:rFonts w:hint="eastAsia" w:ascii="宋体" w:hAnsi="宋体"/>
                      <w:b/>
                      <w:sz w:val="18"/>
                      <w:szCs w:val="18"/>
                    </w:rPr>
                    <w:t>CCP</w:t>
                  </w:r>
                  <w:r>
                    <w:rPr>
                      <w:rFonts w:ascii="宋体" w:hAnsi="宋体"/>
                      <w:b/>
                      <w:sz w:val="18"/>
                      <w:szCs w:val="18"/>
                    </w:rPr>
                    <w:t>2</w:t>
                  </w:r>
                  <w:r>
                    <w:rPr>
                      <w:rFonts w:hint="eastAsia" w:ascii="宋体" w:hAnsi="宋体"/>
                      <w:b/>
                      <w:sz w:val="18"/>
                      <w:szCs w:val="18"/>
                    </w:rPr>
                    <w:t>：配送</w:t>
                  </w:r>
                </w:p>
              </w:tc>
              <w:tc>
                <w:tcPr>
                  <w:tcW w:w="1276" w:type="dxa"/>
                  <w:shd w:val="clear" w:color="auto" w:fill="auto"/>
                  <w:vAlign w:val="center"/>
                </w:tcPr>
                <w:p>
                  <w:pPr>
                    <w:spacing w:line="220" w:lineRule="exact"/>
                    <w:rPr>
                      <w:rFonts w:asciiTheme="minorEastAsia" w:hAnsiTheme="minorEastAsia" w:eastAsiaTheme="minorEastAsia"/>
                      <w:szCs w:val="21"/>
                    </w:rPr>
                  </w:pPr>
                  <w:r>
                    <w:rPr>
                      <w:rFonts w:hint="eastAsia" w:ascii="宋体" w:hAnsi="宋体"/>
                      <w:sz w:val="18"/>
                      <w:szCs w:val="18"/>
                    </w:rPr>
                    <w:t>病原体存活</w:t>
                  </w:r>
                </w:p>
              </w:tc>
              <w:tc>
                <w:tcPr>
                  <w:tcW w:w="1559" w:type="dxa"/>
                  <w:shd w:val="clear" w:color="auto" w:fill="auto"/>
                  <w:vAlign w:val="center"/>
                </w:tcPr>
                <w:p>
                  <w:pPr>
                    <w:spacing w:line="220" w:lineRule="exact"/>
                    <w:rPr>
                      <w:rFonts w:asciiTheme="minorEastAsia" w:hAnsiTheme="minorEastAsia" w:eastAsiaTheme="minorEastAsia"/>
                      <w:szCs w:val="21"/>
                    </w:rPr>
                  </w:pPr>
                  <w:r>
                    <w:rPr>
                      <w:rFonts w:hint="eastAsia" w:ascii="宋体" w:hAnsi="宋体"/>
                      <w:sz w:val="18"/>
                      <w:szCs w:val="18"/>
                    </w:rPr>
                    <w:t>温度不高于10~15℃（冷鲜产品冷藏）温度不高于0度（冷冻产品）</w:t>
                  </w:r>
                </w:p>
              </w:tc>
              <w:tc>
                <w:tcPr>
                  <w:tcW w:w="1092" w:type="dxa"/>
                  <w:shd w:val="clear" w:color="auto" w:fill="auto"/>
                  <w:vAlign w:val="center"/>
                </w:tcPr>
                <w:p>
                  <w:pPr>
                    <w:spacing w:line="220" w:lineRule="exact"/>
                    <w:rPr>
                      <w:rFonts w:asciiTheme="minorEastAsia" w:hAnsiTheme="minorEastAsia" w:eastAsiaTheme="minorEastAsia"/>
                      <w:szCs w:val="21"/>
                    </w:rPr>
                  </w:pPr>
                  <w:r>
                    <w:rPr>
                      <w:rFonts w:hint="eastAsia" w:ascii="宋体" w:hAnsi="宋体"/>
                      <w:sz w:val="18"/>
                      <w:szCs w:val="18"/>
                    </w:rPr>
                    <w:t>区分放置并做好隔离；控制配送车辆温湿度</w:t>
                  </w:r>
                </w:p>
              </w:tc>
              <w:tc>
                <w:tcPr>
                  <w:tcW w:w="993" w:type="dxa"/>
                  <w:shd w:val="clear" w:color="auto" w:fill="auto"/>
                  <w:vAlign w:val="center"/>
                </w:tcPr>
                <w:p>
                  <w:pPr>
                    <w:spacing w:line="220" w:lineRule="exact"/>
                    <w:rPr>
                      <w:rFonts w:asciiTheme="minorEastAsia" w:hAnsiTheme="minorEastAsia" w:eastAsiaTheme="minorEastAsia"/>
                      <w:szCs w:val="21"/>
                    </w:rPr>
                  </w:pPr>
                  <w:r>
                    <w:rPr>
                      <w:rFonts w:hint="eastAsia" w:ascii="宋体" w:hAnsi="宋体"/>
                      <w:sz w:val="18"/>
                      <w:szCs w:val="18"/>
                    </w:rPr>
                    <w:t>技能观察及温度测量</w:t>
                  </w:r>
                </w:p>
              </w:tc>
              <w:tc>
                <w:tcPr>
                  <w:tcW w:w="993" w:type="dxa"/>
                  <w:shd w:val="clear" w:color="auto" w:fill="auto"/>
                  <w:vAlign w:val="center"/>
                </w:tcPr>
                <w:p>
                  <w:pPr>
                    <w:spacing w:line="220" w:lineRule="exact"/>
                    <w:rPr>
                      <w:rFonts w:asciiTheme="minorEastAsia" w:hAnsiTheme="minorEastAsia" w:eastAsiaTheme="minorEastAsia"/>
                      <w:szCs w:val="21"/>
                    </w:rPr>
                  </w:pPr>
                  <w:r>
                    <w:rPr>
                      <w:rFonts w:hint="eastAsia" w:ascii="宋体" w:hAnsi="宋体"/>
                      <w:sz w:val="18"/>
                      <w:szCs w:val="18"/>
                    </w:rPr>
                    <w:t xml:space="preserve"> 每车</w:t>
                  </w:r>
                </w:p>
              </w:tc>
              <w:tc>
                <w:tcPr>
                  <w:tcW w:w="994" w:type="dxa"/>
                  <w:shd w:val="clear" w:color="auto" w:fill="auto"/>
                  <w:vAlign w:val="center"/>
                </w:tcPr>
                <w:p>
                  <w:pPr>
                    <w:spacing w:line="220" w:lineRule="exact"/>
                    <w:rPr>
                      <w:rFonts w:asciiTheme="minorEastAsia" w:hAnsiTheme="minorEastAsia" w:eastAsiaTheme="minorEastAsia"/>
                      <w:szCs w:val="21"/>
                    </w:rPr>
                  </w:pPr>
                  <w:r>
                    <w:rPr>
                      <w:rFonts w:hint="eastAsia" w:ascii="宋体" w:hAnsi="宋体"/>
                      <w:sz w:val="18"/>
                      <w:szCs w:val="18"/>
                    </w:rPr>
                    <w:t>配送员</w:t>
                  </w:r>
                </w:p>
              </w:tc>
              <w:tc>
                <w:tcPr>
                  <w:tcW w:w="1317" w:type="dxa"/>
                  <w:shd w:val="clear" w:color="auto" w:fill="auto"/>
                  <w:vAlign w:val="center"/>
                </w:tcPr>
                <w:p>
                  <w:pPr>
                    <w:spacing w:line="220" w:lineRule="exact"/>
                    <w:rPr>
                      <w:rFonts w:asciiTheme="minorEastAsia" w:hAnsiTheme="minorEastAsia" w:eastAsiaTheme="minorEastAsia"/>
                      <w:szCs w:val="21"/>
                    </w:rPr>
                  </w:pPr>
                  <w:r>
                    <w:rPr>
                      <w:rFonts w:hint="eastAsia" w:asciiTheme="minorEastAsia" w:hAnsiTheme="minorEastAsia" w:eastAsiaTheme="minorEastAsia"/>
                      <w:snapToGrid w:val="0"/>
                      <w:szCs w:val="21"/>
                    </w:rPr>
                    <w:t>人员培训及能力验证，进行微生物检测</w:t>
                  </w:r>
                  <w:r>
                    <w:rPr>
                      <w:rFonts w:hint="eastAsia" w:asciiTheme="minorEastAsia" w:hAnsiTheme="minorEastAsia" w:eastAsiaTheme="minorEastAsia"/>
                      <w:snapToGrid w:val="0"/>
                      <w:szCs w:val="21"/>
                      <w:lang w:val="en-US" w:eastAsia="zh-CN"/>
                    </w:rPr>
                    <w:t>/</w:t>
                  </w:r>
                  <w:r>
                    <w:rPr>
                      <w:rFonts w:hint="eastAsia" w:asciiTheme="minorEastAsia" w:hAnsiTheme="minorEastAsia" w:eastAsiaTheme="minorEastAsia"/>
                      <w:snapToGrid w:val="0"/>
                      <w:szCs w:val="21"/>
                    </w:rPr>
                    <w:t>验证</w:t>
                  </w:r>
                </w:p>
              </w:tc>
            </w:tr>
          </w:tbl>
          <w:p>
            <w:pPr>
              <w:rPr>
                <w:rFonts w:asciiTheme="minorEastAsia" w:hAnsiTheme="minorEastAsia" w:eastAsiaTheme="minorEastAsia"/>
                <w:szCs w:val="21"/>
              </w:rPr>
            </w:pPr>
            <w:r>
              <w:rPr>
                <w:rFonts w:hint="eastAsia" w:asciiTheme="minorEastAsia" w:hAnsiTheme="minorEastAsia" w:eastAsiaTheme="minorEastAsia"/>
                <w:color w:val="0000FF"/>
                <w:szCs w:val="21"/>
                <w:u w:val="single"/>
              </w:rPr>
              <w:t>经询问了解，审核周期内危害控制计划未发生变化。</w:t>
            </w: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74" w:type="dxa"/>
            <w:vMerge w:val="continue"/>
            <w:shd w:val="clear" w:color="auto" w:fill="auto"/>
          </w:tcPr>
          <w:p/>
        </w:tc>
        <w:tc>
          <w:tcPr>
            <w:tcW w:w="936" w:type="dxa"/>
            <w:shd w:val="clear" w:color="auto" w:fill="auto"/>
          </w:tcPr>
          <w:p>
            <w:r>
              <w:t>8.5.4.4 超出关键限值或行动限值采取的措施</w:t>
            </w:r>
          </w:p>
          <w:p/>
        </w:tc>
        <w:tc>
          <w:tcPr>
            <w:tcW w:w="745" w:type="dxa"/>
            <w:shd w:val="clear" w:color="auto" w:fill="auto"/>
          </w:tcPr>
          <w:p/>
        </w:tc>
        <w:tc>
          <w:tcPr>
            <w:tcW w:w="10223" w:type="dxa"/>
            <w:shd w:val="clear" w:color="auto" w:fill="auto"/>
          </w:tcPr>
          <w:p>
            <w:r>
              <w:rPr/>
              <w:sym w:font="Wingdings" w:char="00A8"/>
            </w:r>
            <w:r>
              <w:t>体系建立以来/</w:t>
            </w:r>
            <w:r>
              <w:rPr/>
              <w:sym w:font="Wingdings" w:char="00FE"/>
            </w:r>
            <w:r>
              <w:t xml:space="preserve">近一年  发生超出行动限值或行动限值的情况   </w:t>
            </w:r>
            <w:r>
              <w:rPr/>
              <w:sym w:font="Wingdings" w:char="00A8"/>
            </w:r>
            <w:r>
              <w:t xml:space="preserve">是  </w:t>
            </w:r>
            <w:r>
              <w:rPr/>
              <w:sym w:font="Wingdings" w:char="00FE"/>
            </w:r>
            <w:r>
              <w:t>否</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1181" w:type="dxa"/>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trPr>
        <w:tc>
          <w:tcPr>
            <w:tcW w:w="2174" w:type="dxa"/>
            <w:vMerge w:val="continue"/>
            <w:shd w:val="clear" w:color="auto" w:fill="auto"/>
          </w:tcPr>
          <w:p/>
        </w:tc>
        <w:tc>
          <w:tcPr>
            <w:tcW w:w="936" w:type="dxa"/>
            <w:shd w:val="clear" w:color="auto" w:fill="auto"/>
          </w:tcPr>
          <w:p>
            <w:r>
              <w:t>8.5.4.5实施危害控制计划</w:t>
            </w:r>
          </w:p>
          <w:p/>
        </w:tc>
        <w:tc>
          <w:tcPr>
            <w:tcW w:w="745" w:type="dxa"/>
            <w:shd w:val="clear" w:color="auto" w:fill="auto"/>
          </w:tcPr>
          <w:p>
            <w:r>
              <w:t>现场查看</w:t>
            </w:r>
          </w:p>
        </w:tc>
        <w:tc>
          <w:tcPr>
            <w:tcW w:w="10223" w:type="dxa"/>
            <w:shd w:val="clear" w:color="auto" w:fill="auto"/>
          </w:tcPr>
          <w:p>
            <w:r>
              <w:t>OPRP的实施情况：</w:t>
            </w:r>
            <w:r>
              <w:rPr>
                <w:b/>
                <w:bCs/>
              </w:rPr>
              <w:t xml:space="preserve"> </w:t>
            </w:r>
            <w:r>
              <w:rPr>
                <w:rFonts w:hint="eastAsia"/>
                <w:b/>
                <w:bCs/>
              </w:rPr>
              <w:t>（见品控部审核记录）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t>地点</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24" w:type="dxa"/>
                </w:tcPr>
                <w:p>
                  <w: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pStyle w:val="2"/>
            </w:pPr>
          </w:p>
          <w:p>
            <w:r>
              <w:t>HACCP的实施情况：</w:t>
            </w:r>
            <w:r>
              <w:rPr>
                <w:rFonts w:hint="eastAsia"/>
                <w:b/>
                <w:bCs/>
              </w:rPr>
              <w:t>（见市场部审核记录）</w:t>
            </w:r>
          </w:p>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CCP1</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pPr>
              <w:rPr>
                <w:color w:val="558ED5" w:themeColor="text2" w:themeTint="99"/>
                <w14:textFill>
                  <w14:solidFill>
                    <w14:schemeClr w14:val="tx2">
                      <w14:lumMod w14:val="60000"/>
                      <w14:lumOff w14:val="40000"/>
                    </w14:schemeClr>
                  </w14:solidFill>
                </w14:textFill>
              </w:rPr>
            </w:pPr>
          </w:p>
          <w:p/>
        </w:tc>
        <w:tc>
          <w:tcPr>
            <w:tcW w:w="1181" w:type="dxa"/>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4" w:type="dxa"/>
            <w:vMerge w:val="restart"/>
            <w:shd w:val="clear" w:color="auto" w:fill="auto"/>
          </w:tcPr>
          <w:p>
            <w:r>
              <w:t>PRP和危害控制计划文件的更新</w:t>
            </w:r>
          </w:p>
        </w:tc>
        <w:tc>
          <w:tcPr>
            <w:tcW w:w="936" w:type="dxa"/>
            <w:vMerge w:val="restart"/>
            <w:shd w:val="clear" w:color="auto" w:fill="auto"/>
          </w:tcPr>
          <w:p>
            <w:r>
              <w:t>F8. 6</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验证程序</w:t>
            </w:r>
            <w:r>
              <w:t>》</w:t>
            </w:r>
            <w:r>
              <w:rPr>
                <w:rFonts w:hint="eastAsia"/>
              </w:rPr>
              <w:t>，</w:t>
            </w:r>
            <w:r>
              <w:rPr/>
              <w:sym w:font="Wingdings" w:char="00FE"/>
            </w:r>
            <w:r>
              <w:rPr>
                <w:rFonts w:hint="eastAsia"/>
              </w:rPr>
              <w:t>手册8</w:t>
            </w:r>
            <w:r>
              <w:t>.6</w:t>
            </w:r>
            <w:r>
              <w:rPr>
                <w:rFonts w:hint="eastAsia"/>
              </w:rPr>
              <w:t>条款</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制定OPRP计划和（或） HACCP计划后， 组织对如下信息进行更新：</w:t>
            </w:r>
          </w:p>
          <w:p>
            <w:r>
              <w:rPr/>
              <w:sym w:font="Wingdings" w:char="00FE"/>
            </w:r>
            <w:r>
              <w:rPr>
                <w:rFonts w:hint="eastAsia"/>
              </w:rPr>
              <w:t>审核周期内</w:t>
            </w:r>
            <w:r>
              <w:t>未发生</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流程图、 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HACCP计划</w:t>
                  </w:r>
                </w:p>
              </w:tc>
              <w:tc>
                <w:tcPr>
                  <w:tcW w:w="2300" w:type="dxa"/>
                </w:tcPr>
                <w:p>
                  <w:r>
                    <w:t>——</w:t>
                  </w:r>
                </w:p>
              </w:tc>
              <w:tc>
                <w:tcPr>
                  <w:tcW w:w="4818" w:type="dxa"/>
                </w:tcPr>
                <w:p/>
              </w:tc>
            </w:tr>
          </w:tbl>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74" w:type="dxa"/>
            <w:vMerge w:val="restart"/>
            <w:shd w:val="clear" w:color="auto" w:fill="auto"/>
          </w:tcPr>
          <w:p>
            <w:r>
              <w:t>与 PRP、危害控制计划有关的验证</w:t>
            </w:r>
          </w:p>
          <w:p/>
        </w:tc>
        <w:tc>
          <w:tcPr>
            <w:tcW w:w="936" w:type="dxa"/>
            <w:vMerge w:val="restart"/>
            <w:shd w:val="clear" w:color="auto" w:fill="auto"/>
          </w:tcPr>
          <w:p>
            <w:r>
              <w:t>F8.8.1</w:t>
            </w:r>
          </w:p>
          <w:p/>
        </w:tc>
        <w:tc>
          <w:tcPr>
            <w:tcW w:w="745" w:type="dxa"/>
            <w:shd w:val="clear" w:color="auto" w:fill="auto"/>
          </w:tcPr>
          <w:p>
            <w:r>
              <w:t>文件名称</w:t>
            </w:r>
          </w:p>
        </w:tc>
        <w:tc>
          <w:tcPr>
            <w:tcW w:w="10223" w:type="dxa"/>
            <w:shd w:val="clear" w:color="auto" w:fill="auto"/>
          </w:tcPr>
          <w:p>
            <w:r>
              <w:t>如：</w:t>
            </w:r>
            <w:r>
              <w:rPr>
                <w:rFonts w:hint="eastAsia" w:ascii="宋体" w:hAnsi="宋体"/>
              </w:rPr>
              <w:t>□</w:t>
            </w:r>
            <w:r>
              <w:t>《确认和验证控制程序》</w:t>
            </w:r>
            <w:r>
              <w:rPr>
                <w:rFonts w:hint="eastAsia"/>
              </w:rPr>
              <w:t xml:space="preserve"> </w:t>
            </w:r>
            <w:r>
              <w:t xml:space="preserve">  </w:t>
            </w:r>
            <w:r>
              <w:rPr/>
              <w:sym w:font="Wingdings" w:char="00FE"/>
            </w:r>
            <w:r>
              <w:rPr>
                <w:rFonts w:hint="eastAsia"/>
              </w:rPr>
              <w:t>《验证程序》</w:t>
            </w:r>
          </w:p>
        </w:tc>
        <w:tc>
          <w:tcPr>
            <w:tcW w:w="1181" w:type="dxa"/>
            <w:vMerge w:val="restart"/>
            <w:shd w:val="clear" w:color="auto" w:fill="auto"/>
          </w:tcPr>
          <w:p>
            <w:r>
              <w:rPr/>
              <w:sym w:font="Wingdings" w:char="00FE"/>
            </w:r>
            <w:r>
              <w:t>符合</w:t>
            </w:r>
          </w:p>
          <w:p>
            <w:r>
              <w:rPr/>
              <w:sym w:font="Wingdings" w:char="00A8"/>
            </w:r>
            <w:r>
              <w:t>不符合</w:t>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组织建立、实施和保持验证活动。</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目的</w:t>
                  </w:r>
                </w:p>
              </w:tc>
              <w:tc>
                <w:tcPr>
                  <w:tcW w:w="1468" w:type="dxa"/>
                </w:tcPr>
                <w:p>
                  <w:pPr>
                    <w:rPr>
                      <w:szCs w:val="21"/>
                    </w:rPr>
                  </w:pPr>
                  <w:r>
                    <w:rPr>
                      <w:szCs w:val="21"/>
                    </w:rPr>
                    <w:t>方法</w:t>
                  </w:r>
                </w:p>
              </w:tc>
              <w:tc>
                <w:tcPr>
                  <w:tcW w:w="1962" w:type="dxa"/>
                </w:tcPr>
                <w:p>
                  <w:pPr>
                    <w:rPr>
                      <w:szCs w:val="21"/>
                    </w:rPr>
                  </w:pPr>
                  <w:r>
                    <w:rPr>
                      <w:szCs w:val="21"/>
                    </w:rPr>
                    <w:t>频次</w:t>
                  </w:r>
                </w:p>
              </w:tc>
              <w:tc>
                <w:tcPr>
                  <w:tcW w:w="1809"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468" w:type="dxa"/>
                </w:tcPr>
                <w:p>
                  <w:pPr>
                    <w:rPr>
                      <w:szCs w:val="21"/>
                    </w:rPr>
                  </w:pPr>
                  <w:r>
                    <w:rPr>
                      <w:szCs w:val="21"/>
                    </w:rPr>
                    <w:t>自行检查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468" w:type="dxa"/>
                </w:tcPr>
                <w:p>
                  <w:pPr>
                    <w:rPr>
                      <w:szCs w:val="21"/>
                    </w:rPr>
                  </w:pPr>
                  <w:r>
                    <w:rPr>
                      <w:szCs w:val="21"/>
                    </w:rPr>
                    <w:t>自行检查</w:t>
                  </w:r>
                </w:p>
              </w:tc>
              <w:tc>
                <w:tcPr>
                  <w:tcW w:w="1962" w:type="dxa"/>
                </w:tcPr>
                <w:p>
                  <w:pPr>
                    <w:rPr>
                      <w:szCs w:val="21"/>
                    </w:rPr>
                  </w:pPr>
                  <w:r>
                    <w:rPr>
                      <w:szCs w:val="21"/>
                    </w:rPr>
                    <w:t>每年一</w:t>
                  </w:r>
                  <w:r>
                    <w:rPr>
                      <w:rFonts w:hint="eastAsia"/>
                      <w:szCs w:val="21"/>
                    </w:rPr>
                    <w:t>次</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危害水平在确定的可接受水平之内</w:t>
                  </w:r>
                </w:p>
              </w:tc>
              <w:tc>
                <w:tcPr>
                  <w:tcW w:w="1468" w:type="dxa"/>
                </w:tcPr>
                <w:p>
                  <w:pPr>
                    <w:rPr>
                      <w:szCs w:val="21"/>
                    </w:rPr>
                  </w:pPr>
                  <w:r>
                    <w:rPr>
                      <w:bCs/>
                    </w:rPr>
                    <w:t>向供方索取检测报告</w:t>
                  </w:r>
                </w:p>
              </w:tc>
              <w:tc>
                <w:tcPr>
                  <w:tcW w:w="1962" w:type="dxa"/>
                </w:tcPr>
                <w:p>
                  <w:r>
                    <w:t>每年一次</w:t>
                  </w:r>
                </w:p>
                <w:p>
                  <w:pPr>
                    <w:pStyle w:val="2"/>
                    <w:ind w:left="0" w:firstLine="0" w:firstLineChars="0"/>
                  </w:pPr>
                  <w:r>
                    <w:rPr>
                      <w:rFonts w:hint="eastAsia" w:ascii="Times New Roman" w:hAnsi="Times New Roman"/>
                      <w:szCs w:val="21"/>
                    </w:rPr>
                    <w:t>每批次（鲜畜禽肉）</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危害分析输入的更新</w:t>
                  </w:r>
                </w:p>
              </w:tc>
              <w:tc>
                <w:tcPr>
                  <w:tcW w:w="1468" w:type="dxa"/>
                </w:tcPr>
                <w:p>
                  <w:pPr>
                    <w:rPr>
                      <w:szCs w:val="21"/>
                    </w:rPr>
                  </w:pPr>
                  <w:r>
                    <w:rPr>
                      <w:szCs w:val="21"/>
                    </w:rPr>
                    <w:t>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468" w:type="dxa"/>
                </w:tcPr>
                <w:p>
                  <w:pPr>
                    <w:rPr>
                      <w:szCs w:val="21"/>
                    </w:rPr>
                  </w:pPr>
                  <w:r>
                    <w:rPr>
                      <w:szCs w:val="21"/>
                    </w:rPr>
                    <w:t>——</w:t>
                  </w:r>
                </w:p>
              </w:tc>
              <w:tc>
                <w:tcPr>
                  <w:tcW w:w="1962" w:type="dxa"/>
                </w:tcPr>
                <w:p>
                  <w:pPr>
                    <w:rPr>
                      <w:szCs w:val="21"/>
                    </w:rPr>
                  </w:pPr>
                  <w:r>
                    <w:rPr>
                      <w:szCs w:val="21"/>
                    </w:rPr>
                    <w:t>——</w:t>
                  </w:r>
                </w:p>
              </w:tc>
              <w:tc>
                <w:tcPr>
                  <w:tcW w:w="1809"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14:textFill>
                  <w14:solidFill>
                    <w14:schemeClr w14:val="tx1"/>
                  </w14:solidFill>
                </w14:textFill>
              </w:rPr>
            </w:pPr>
            <w:r>
              <w:t>见《验证报告》和《检验报告》</w:t>
            </w:r>
          </w:p>
          <w:p>
            <w:pPr>
              <w:rPr>
                <w:u w:val="single"/>
              </w:rPr>
            </w:pPr>
            <w:r>
              <w:rPr>
                <w:color w:val="000000" w:themeColor="text1"/>
                <w14:textFill>
                  <w14:solidFill>
                    <w14:schemeClr w14:val="tx1"/>
                  </w14:solidFill>
                </w14:textFill>
              </w:rPr>
              <w:t>抽取作业环境（人员、空气、工器具、接触面等）检验相关记录名称：</w:t>
            </w:r>
            <w:r>
              <w:rPr>
                <w:color w:val="000000" w:themeColor="text1"/>
                <w:u w:val="single"/>
                <w14:textFill>
                  <w14:solidFill>
                    <w14:schemeClr w14:val="tx1"/>
                  </w14:solidFill>
                </w14:textFill>
              </w:rPr>
              <w:t xml:space="preserve">《 </w:t>
            </w:r>
            <w:r>
              <w:rPr>
                <w:rFonts w:hint="eastAsia"/>
                <w:color w:val="0000FF"/>
                <w:u w:val="single"/>
              </w:rPr>
              <w:t>主要以清洁为主，见市场部审核记录</w:t>
            </w:r>
            <w:r>
              <w:rPr>
                <w:color w:val="0000FF"/>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tc>
            </w:tr>
          </w:tbl>
          <w:p/>
          <w:p>
            <w:pPr>
              <w:rPr>
                <w:u w:val="single"/>
              </w:rPr>
            </w:pPr>
            <w:r>
              <w:t>抽取生产用水、蒸汽、冰</w:t>
            </w:r>
            <w:r>
              <w:rPr>
                <w:b/>
                <w:bCs/>
              </w:rPr>
              <w:t>检验</w:t>
            </w:r>
            <w:r>
              <w:t>相关记录名称：</w:t>
            </w:r>
            <w:r>
              <w:rPr>
                <w:u w:val="single"/>
              </w:rPr>
              <w:t xml:space="preserve">《 </w:t>
            </w:r>
            <w:r>
              <w:rPr>
                <w:rFonts w:hint="eastAsia"/>
                <w:u w:val="single"/>
              </w:rPr>
              <w:t>主要用于场地以及设备的清洗，以感官检查为主</w:t>
            </w:r>
            <w:r>
              <w:rPr>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sz w:val="18"/>
                      <w:szCs w:val="18"/>
                    </w:rPr>
                  </w:pPr>
                  <w:r>
                    <w:rPr/>
                    <w:sym w:font="Wingdings" w:char="00A8"/>
                  </w:r>
                  <w:r>
                    <w:rPr>
                      <w:sz w:val="18"/>
                      <w:szCs w:val="18"/>
                    </w:rPr>
                    <w:t xml:space="preserve">合格 </w:t>
                  </w:r>
                </w:p>
                <w:p>
                  <w:pPr>
                    <w:rPr>
                      <w:sz w:val="18"/>
                      <w:szCs w:val="18"/>
                    </w:rPr>
                  </w:pPr>
                  <w:r>
                    <w:rPr>
                      <w:sz w:val="18"/>
                      <w:szCs w:val="18"/>
                    </w:rPr>
                    <w:t>□不合格</w:t>
                  </w:r>
                </w:p>
              </w:tc>
            </w:tr>
          </w:tbl>
          <w:p>
            <w:pPr>
              <w:rPr>
                <w:rFonts w:hint="eastAsia"/>
                <w:color w:val="0000FF"/>
                <w:u w:val="single"/>
                <w:lang w:val="en-US" w:eastAsia="zh-CN"/>
              </w:rPr>
            </w:pPr>
            <w:r>
              <w:rPr>
                <w:rFonts w:hint="eastAsia"/>
                <w:color w:val="0000FF"/>
                <w:u w:val="single"/>
                <w:lang w:val="en-US" w:eastAsia="zh-CN"/>
              </w:rPr>
              <w:t>提供了溧水区自来水公司，2022.05.10出厂水、管网末梢水常规42项指标，监测结果：合格；</w:t>
            </w:r>
          </w:p>
          <w:p>
            <w:pPr>
              <w:pStyle w:val="2"/>
              <w:rPr>
                <w:rFonts w:hint="default"/>
                <w:lang w:val="en-US" w:eastAsia="zh-CN"/>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4" w:type="dxa"/>
            <w:vMerge w:val="restart"/>
            <w:shd w:val="clear" w:color="auto" w:fill="auto"/>
          </w:tcPr>
          <w:p>
            <w:r>
              <w:t>验证活动结果的分析</w:t>
            </w:r>
          </w:p>
        </w:tc>
        <w:tc>
          <w:tcPr>
            <w:tcW w:w="936" w:type="dxa"/>
            <w:vMerge w:val="restart"/>
            <w:shd w:val="clear" w:color="auto" w:fill="auto"/>
          </w:tcPr>
          <w:p>
            <w:r>
              <w:t>F8.8.2</w:t>
            </w:r>
          </w:p>
          <w:p/>
        </w:tc>
        <w:tc>
          <w:tcPr>
            <w:tcW w:w="745" w:type="dxa"/>
            <w:shd w:val="clear" w:color="auto" w:fill="auto"/>
          </w:tcPr>
          <w:p>
            <w:r>
              <w:t>文件名称</w:t>
            </w:r>
          </w:p>
        </w:tc>
        <w:tc>
          <w:tcPr>
            <w:tcW w:w="10223" w:type="dxa"/>
            <w:shd w:val="clear" w:color="auto" w:fill="auto"/>
          </w:tcPr>
          <w:p>
            <w:r>
              <w:t xml:space="preserve">如： </w:t>
            </w:r>
            <w:r>
              <w:rPr/>
              <w:sym w:font="Wingdings" w:char="00A8"/>
            </w:r>
            <w:r>
              <w:t xml:space="preserve">《验证和确认控制程序》 </w:t>
            </w:r>
            <w:r>
              <w:rPr/>
              <w:sym w:font="Wingdings" w:char="00A8"/>
            </w:r>
            <w:r>
              <w:t>《</w:t>
            </w:r>
            <w:r>
              <w:rPr>
                <w:sz w:val="18"/>
                <w:szCs w:val="18"/>
              </w:rPr>
              <w:t>食品安全验证控制程序》</w:t>
            </w:r>
            <w:r>
              <w:rPr>
                <w:rFonts w:hint="eastAsia"/>
                <w:sz w:val="18"/>
                <w:szCs w:val="18"/>
              </w:rPr>
              <w:t xml:space="preserve"> </w:t>
            </w:r>
            <w:r>
              <w:t xml:space="preserve"> </w:t>
            </w:r>
            <w:r>
              <w:rPr/>
              <w:sym w:font="Wingdings" w:char="00FE"/>
            </w:r>
            <w:r>
              <w:rPr>
                <w:rFonts w:hint="eastAsia"/>
                <w:sz w:val="18"/>
                <w:szCs w:val="18"/>
              </w:rPr>
              <w:t>《验证程序》</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食品安全小组对验证结果进行分析，并将其作为食品安全管理体系绩效评估的输入</w:t>
            </w:r>
          </w:p>
          <w:p/>
          <w:p>
            <w:pPr>
              <w:adjustRightInd w:val="0"/>
              <w:snapToGrid w:val="0"/>
              <w:spacing w:line="240" w:lineRule="atLeast"/>
              <w:ind w:firstLine="211" w:firstLineChars="100"/>
              <w:rPr>
                <w:b/>
                <w:bCs/>
                <w:szCs w:val="21"/>
                <w:u w:val="single"/>
              </w:rPr>
            </w:pPr>
            <w:r>
              <w:rPr>
                <w:b/>
                <w:bCs/>
                <w:szCs w:val="21"/>
                <w:u w:val="single"/>
              </w:rPr>
              <w:t>有</w:t>
            </w:r>
            <w:r>
              <w:rPr>
                <w:rFonts w:hint="eastAsia"/>
                <w:b/>
                <w:bCs/>
                <w:szCs w:val="21"/>
                <w:u w:val="single"/>
              </w:rPr>
              <w:t>《PRP现场验证记录》，2022-03-09，结论：控制有效</w:t>
            </w:r>
          </w:p>
          <w:p>
            <w:pPr>
              <w:adjustRightInd w:val="0"/>
              <w:snapToGrid w:val="0"/>
              <w:spacing w:line="240" w:lineRule="atLeast"/>
              <w:ind w:firstLine="211" w:firstLineChars="100"/>
              <w:rPr>
                <w:b/>
                <w:bCs/>
                <w:szCs w:val="21"/>
                <w:u w:val="single"/>
              </w:rPr>
            </w:pPr>
            <w:r>
              <w:rPr>
                <w:rFonts w:hint="eastAsia"/>
                <w:b/>
                <w:bCs/>
                <w:szCs w:val="21"/>
                <w:u w:val="single"/>
              </w:rPr>
              <w:t>《危害控制计划验证记录表》，2022-03-10，结论：控制有效</w:t>
            </w:r>
          </w:p>
          <w:p>
            <w:pPr>
              <w:adjustRightInd w:val="0"/>
              <w:snapToGrid w:val="0"/>
              <w:spacing w:line="240" w:lineRule="atLeast"/>
              <w:ind w:firstLine="211" w:firstLineChars="100"/>
              <w:rPr>
                <w:b/>
                <w:bCs/>
                <w:szCs w:val="21"/>
                <w:u w:val="single"/>
              </w:rPr>
            </w:pPr>
            <w:r>
              <w:rPr>
                <w:b/>
                <w:bCs/>
                <w:szCs w:val="21"/>
                <w:u w:val="single"/>
              </w:rPr>
              <w:t>《验证活动结果分析报告》，</w:t>
            </w:r>
            <w:r>
              <w:rPr>
                <w:rFonts w:hint="eastAsia"/>
                <w:b/>
                <w:bCs/>
                <w:szCs w:val="21"/>
                <w:u w:val="single"/>
              </w:rPr>
              <w:t>2022-0</w:t>
            </w:r>
            <w:r>
              <w:rPr>
                <w:b/>
                <w:bCs/>
                <w:szCs w:val="21"/>
                <w:u w:val="single"/>
              </w:rPr>
              <w:t>4</w:t>
            </w:r>
            <w:r>
              <w:rPr>
                <w:rFonts w:hint="eastAsia"/>
                <w:b/>
                <w:bCs/>
                <w:szCs w:val="21"/>
                <w:u w:val="single"/>
              </w:rPr>
              <w:t>-</w:t>
            </w:r>
            <w:r>
              <w:rPr>
                <w:b/>
                <w:bCs/>
                <w:szCs w:val="21"/>
                <w:u w:val="single"/>
              </w:rPr>
              <w:t>08</w:t>
            </w:r>
            <w:r>
              <w:rPr>
                <w:rFonts w:hint="eastAsia"/>
                <w:b/>
                <w:bCs/>
                <w:szCs w:val="21"/>
                <w:u w:val="single"/>
              </w:rPr>
              <w:t>，结论：控制有效</w:t>
            </w:r>
            <w:r>
              <w:rPr>
                <w:b/>
                <w:bCs/>
                <w:szCs w:val="21"/>
                <w:u w:val="single"/>
              </w:rPr>
              <w:t>。</w:t>
            </w:r>
          </w:p>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4" w:type="dxa"/>
            <w:vMerge w:val="restart"/>
          </w:tcPr>
          <w:p>
            <w:r>
              <w:t>分析与评价</w:t>
            </w:r>
          </w:p>
        </w:tc>
        <w:tc>
          <w:tcPr>
            <w:tcW w:w="936" w:type="dxa"/>
            <w:vMerge w:val="restart"/>
          </w:tcPr>
          <w:p>
            <w:r>
              <w:t>F9.1.2</w:t>
            </w:r>
          </w:p>
        </w:tc>
        <w:tc>
          <w:tcPr>
            <w:tcW w:w="745" w:type="dxa"/>
          </w:tcPr>
          <w:p>
            <w:r>
              <w:t>文件名称</w:t>
            </w:r>
          </w:p>
        </w:tc>
        <w:tc>
          <w:tcPr>
            <w:tcW w:w="10223" w:type="dxa"/>
          </w:tcPr>
          <w:p>
            <w:r>
              <w:t>如：</w:t>
            </w:r>
            <w:r>
              <w:rP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1181"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74" w:type="dxa"/>
            <w:vMerge w:val="continue"/>
          </w:tcPr>
          <w:p/>
        </w:tc>
        <w:tc>
          <w:tcPr>
            <w:tcW w:w="936" w:type="dxa"/>
            <w:vMerge w:val="continue"/>
          </w:tcPr>
          <w:p/>
        </w:tc>
        <w:tc>
          <w:tcPr>
            <w:tcW w:w="745" w:type="dxa"/>
          </w:tcPr>
          <w:p>
            <w:r>
              <w:t>运行证据</w:t>
            </w:r>
          </w:p>
        </w:tc>
        <w:tc>
          <w:tcPr>
            <w:tcW w:w="10223" w:type="dxa"/>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r>
              <w:rPr>
                <w:rFonts w:hint="eastAsia"/>
                <w:color w:val="000000"/>
                <w:szCs w:val="21"/>
              </w:rPr>
              <w:t>——简单数据统计</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r>
              <w:t>见</w:t>
            </w:r>
            <w:r>
              <w:rPr>
                <w:u w:val="single"/>
              </w:rPr>
              <w:t>《验证结果分析报告》</w:t>
            </w:r>
            <w:r>
              <w:rPr>
                <w:rFonts w:hint="eastAsia"/>
                <w:u w:val="single"/>
              </w:rPr>
              <w:t>、《管理评审》</w:t>
            </w:r>
          </w:p>
        </w:tc>
        <w:tc>
          <w:tcPr>
            <w:tcW w:w="1181" w:type="dxa"/>
            <w:vMerge w:val="continue"/>
          </w:tc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765" w:firstLineChars="450"/>
      <w:jc w:val="left"/>
      <w:rPr>
        <w:rStyle w:val="18"/>
        <w:rFonts w:hint="default"/>
      </w:rPr>
    </w:pPr>
    <w:r>
      <w:rPr>
        <w:rFonts w:ascii="宋体" w:hAnsi="宋体" w:cs="宋体"/>
        <w:sz w:val="17"/>
        <w:szCs w:val="17"/>
      </w:rPr>
      <w:drawing>
        <wp:anchor distT="0" distB="0" distL="114300" distR="114300" simplePos="0" relativeHeight="251660288" behindDoc="0" locked="0" layoutInCell="1" allowOverlap="1">
          <wp:simplePos x="0" y="0"/>
          <wp:positionH relativeFrom="column">
            <wp:posOffset>-80645</wp:posOffset>
          </wp:positionH>
          <wp:positionV relativeFrom="paragraph">
            <wp:posOffset>-2540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v:textbox>
            </v:shape>
          </w:pict>
        </mc:Fallback>
      </mc:AlternateContent>
    </w:r>
    <w:r>
      <w:rPr>
        <w:rStyle w:val="18"/>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172A27"/>
    <w:rsid w:val="0000618F"/>
    <w:rsid w:val="00014985"/>
    <w:rsid w:val="000172A7"/>
    <w:rsid w:val="00020D48"/>
    <w:rsid w:val="000237F6"/>
    <w:rsid w:val="00031FA4"/>
    <w:rsid w:val="0003219A"/>
    <w:rsid w:val="0003373A"/>
    <w:rsid w:val="00036635"/>
    <w:rsid w:val="000400E2"/>
    <w:rsid w:val="000421E4"/>
    <w:rsid w:val="000455E4"/>
    <w:rsid w:val="00052379"/>
    <w:rsid w:val="000622D8"/>
    <w:rsid w:val="000624EE"/>
    <w:rsid w:val="00062E46"/>
    <w:rsid w:val="00070DD5"/>
    <w:rsid w:val="00077884"/>
    <w:rsid w:val="000A4194"/>
    <w:rsid w:val="000A53EA"/>
    <w:rsid w:val="000B11D3"/>
    <w:rsid w:val="000B165E"/>
    <w:rsid w:val="000C0134"/>
    <w:rsid w:val="000D09A6"/>
    <w:rsid w:val="000D14C3"/>
    <w:rsid w:val="000D28BC"/>
    <w:rsid w:val="000D3451"/>
    <w:rsid w:val="000E6B21"/>
    <w:rsid w:val="000E757E"/>
    <w:rsid w:val="00100519"/>
    <w:rsid w:val="00100939"/>
    <w:rsid w:val="001126B5"/>
    <w:rsid w:val="001211F8"/>
    <w:rsid w:val="0013663D"/>
    <w:rsid w:val="0015105E"/>
    <w:rsid w:val="00154AEC"/>
    <w:rsid w:val="001607F2"/>
    <w:rsid w:val="00170956"/>
    <w:rsid w:val="00172A27"/>
    <w:rsid w:val="00174C27"/>
    <w:rsid w:val="001A2D7F"/>
    <w:rsid w:val="001A5750"/>
    <w:rsid w:val="001C015D"/>
    <w:rsid w:val="001C4036"/>
    <w:rsid w:val="001C5C5A"/>
    <w:rsid w:val="001C7883"/>
    <w:rsid w:val="001F354D"/>
    <w:rsid w:val="0021056A"/>
    <w:rsid w:val="00210D0D"/>
    <w:rsid w:val="00215F05"/>
    <w:rsid w:val="0022272E"/>
    <w:rsid w:val="00224211"/>
    <w:rsid w:val="002250A0"/>
    <w:rsid w:val="00233D79"/>
    <w:rsid w:val="002420F1"/>
    <w:rsid w:val="00246A39"/>
    <w:rsid w:val="00254E48"/>
    <w:rsid w:val="00255D00"/>
    <w:rsid w:val="00257FEC"/>
    <w:rsid w:val="0026762B"/>
    <w:rsid w:val="00282CEC"/>
    <w:rsid w:val="00290D09"/>
    <w:rsid w:val="002939AD"/>
    <w:rsid w:val="002A4523"/>
    <w:rsid w:val="002A4A77"/>
    <w:rsid w:val="002A5E14"/>
    <w:rsid w:val="002A6D92"/>
    <w:rsid w:val="002A76D8"/>
    <w:rsid w:val="002B0953"/>
    <w:rsid w:val="002B0B14"/>
    <w:rsid w:val="002B2214"/>
    <w:rsid w:val="002C406C"/>
    <w:rsid w:val="00305B8F"/>
    <w:rsid w:val="00305EC0"/>
    <w:rsid w:val="00307AF7"/>
    <w:rsid w:val="003108C2"/>
    <w:rsid w:val="003138A8"/>
    <w:rsid w:val="00314AF6"/>
    <w:rsid w:val="0032578F"/>
    <w:rsid w:val="00327D4A"/>
    <w:rsid w:val="00335FBB"/>
    <w:rsid w:val="00337922"/>
    <w:rsid w:val="00340867"/>
    <w:rsid w:val="003456A2"/>
    <w:rsid w:val="00345CA7"/>
    <w:rsid w:val="00353F23"/>
    <w:rsid w:val="003565F6"/>
    <w:rsid w:val="003755E6"/>
    <w:rsid w:val="00376ADE"/>
    <w:rsid w:val="003807AA"/>
    <w:rsid w:val="00380837"/>
    <w:rsid w:val="0038228C"/>
    <w:rsid w:val="0038333F"/>
    <w:rsid w:val="00394694"/>
    <w:rsid w:val="003A198A"/>
    <w:rsid w:val="003A2920"/>
    <w:rsid w:val="003A7AA7"/>
    <w:rsid w:val="003B2603"/>
    <w:rsid w:val="003B5481"/>
    <w:rsid w:val="003C0F55"/>
    <w:rsid w:val="003C7386"/>
    <w:rsid w:val="003D5EA3"/>
    <w:rsid w:val="003E385C"/>
    <w:rsid w:val="003F1C8D"/>
    <w:rsid w:val="003F6156"/>
    <w:rsid w:val="00400A07"/>
    <w:rsid w:val="00401073"/>
    <w:rsid w:val="00410421"/>
    <w:rsid w:val="00410914"/>
    <w:rsid w:val="00411120"/>
    <w:rsid w:val="004177C7"/>
    <w:rsid w:val="004215CE"/>
    <w:rsid w:val="0043137D"/>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2349"/>
    <w:rsid w:val="004A42F9"/>
    <w:rsid w:val="004A59B4"/>
    <w:rsid w:val="004B2CE4"/>
    <w:rsid w:val="004B6333"/>
    <w:rsid w:val="004C0FDE"/>
    <w:rsid w:val="004D048A"/>
    <w:rsid w:val="004D7DE5"/>
    <w:rsid w:val="004E6F1C"/>
    <w:rsid w:val="004F0CA5"/>
    <w:rsid w:val="004F31E5"/>
    <w:rsid w:val="00513101"/>
    <w:rsid w:val="00516087"/>
    <w:rsid w:val="00536930"/>
    <w:rsid w:val="00553344"/>
    <w:rsid w:val="00553CEA"/>
    <w:rsid w:val="0055669E"/>
    <w:rsid w:val="00564E53"/>
    <w:rsid w:val="005653F0"/>
    <w:rsid w:val="005665A9"/>
    <w:rsid w:val="0057371F"/>
    <w:rsid w:val="00580AD2"/>
    <w:rsid w:val="00583555"/>
    <w:rsid w:val="005841E5"/>
    <w:rsid w:val="00585108"/>
    <w:rsid w:val="00595461"/>
    <w:rsid w:val="005A00DD"/>
    <w:rsid w:val="005A3812"/>
    <w:rsid w:val="005A70B0"/>
    <w:rsid w:val="005B4EFC"/>
    <w:rsid w:val="005B5527"/>
    <w:rsid w:val="005C1255"/>
    <w:rsid w:val="005C4869"/>
    <w:rsid w:val="005D3198"/>
    <w:rsid w:val="005D5659"/>
    <w:rsid w:val="005E3DEA"/>
    <w:rsid w:val="005E5102"/>
    <w:rsid w:val="005E5230"/>
    <w:rsid w:val="00600C20"/>
    <w:rsid w:val="00602F72"/>
    <w:rsid w:val="0062028A"/>
    <w:rsid w:val="006208C0"/>
    <w:rsid w:val="00624DB2"/>
    <w:rsid w:val="00633CBF"/>
    <w:rsid w:val="00635A86"/>
    <w:rsid w:val="00641BC6"/>
    <w:rsid w:val="00644FE2"/>
    <w:rsid w:val="00647559"/>
    <w:rsid w:val="00673103"/>
    <w:rsid w:val="0067640C"/>
    <w:rsid w:val="00682A43"/>
    <w:rsid w:val="00692CB5"/>
    <w:rsid w:val="006A69D6"/>
    <w:rsid w:val="006A7B14"/>
    <w:rsid w:val="006B4977"/>
    <w:rsid w:val="006C3774"/>
    <w:rsid w:val="006C4540"/>
    <w:rsid w:val="006D40FA"/>
    <w:rsid w:val="006E678B"/>
    <w:rsid w:val="006E7B1D"/>
    <w:rsid w:val="006F60E5"/>
    <w:rsid w:val="006F66B9"/>
    <w:rsid w:val="00721965"/>
    <w:rsid w:val="00734ABD"/>
    <w:rsid w:val="00735A6E"/>
    <w:rsid w:val="00750E6E"/>
    <w:rsid w:val="00755853"/>
    <w:rsid w:val="00765B5F"/>
    <w:rsid w:val="007757F3"/>
    <w:rsid w:val="00777462"/>
    <w:rsid w:val="00781FEB"/>
    <w:rsid w:val="00784362"/>
    <w:rsid w:val="007A3CD1"/>
    <w:rsid w:val="007B0B22"/>
    <w:rsid w:val="007B5750"/>
    <w:rsid w:val="007C1B48"/>
    <w:rsid w:val="007E3B15"/>
    <w:rsid w:val="007E6AEB"/>
    <w:rsid w:val="007F429A"/>
    <w:rsid w:val="007F628B"/>
    <w:rsid w:val="00806F94"/>
    <w:rsid w:val="008107A0"/>
    <w:rsid w:val="00810C39"/>
    <w:rsid w:val="008200B2"/>
    <w:rsid w:val="00821DDE"/>
    <w:rsid w:val="00821F87"/>
    <w:rsid w:val="00822941"/>
    <w:rsid w:val="00827CAA"/>
    <w:rsid w:val="00835B32"/>
    <w:rsid w:val="008414EA"/>
    <w:rsid w:val="00846448"/>
    <w:rsid w:val="00854C63"/>
    <w:rsid w:val="00857CE8"/>
    <w:rsid w:val="00883736"/>
    <w:rsid w:val="008973EE"/>
    <w:rsid w:val="008B099F"/>
    <w:rsid w:val="008B3727"/>
    <w:rsid w:val="008B5732"/>
    <w:rsid w:val="008B6A82"/>
    <w:rsid w:val="008B7E81"/>
    <w:rsid w:val="008C08FC"/>
    <w:rsid w:val="008C4292"/>
    <w:rsid w:val="008C4943"/>
    <w:rsid w:val="008E278C"/>
    <w:rsid w:val="008E46FC"/>
    <w:rsid w:val="008E570B"/>
    <w:rsid w:val="008F3A69"/>
    <w:rsid w:val="008F3AE9"/>
    <w:rsid w:val="008F4053"/>
    <w:rsid w:val="008F43C8"/>
    <w:rsid w:val="009118C5"/>
    <w:rsid w:val="00913015"/>
    <w:rsid w:val="00917234"/>
    <w:rsid w:val="009211BC"/>
    <w:rsid w:val="009227FE"/>
    <w:rsid w:val="0092531B"/>
    <w:rsid w:val="00941004"/>
    <w:rsid w:val="009420A7"/>
    <w:rsid w:val="009434BE"/>
    <w:rsid w:val="0095158F"/>
    <w:rsid w:val="00971600"/>
    <w:rsid w:val="00983692"/>
    <w:rsid w:val="00984FF0"/>
    <w:rsid w:val="00991504"/>
    <w:rsid w:val="009973B4"/>
    <w:rsid w:val="009A294D"/>
    <w:rsid w:val="009A4344"/>
    <w:rsid w:val="009B40E6"/>
    <w:rsid w:val="009C09D3"/>
    <w:rsid w:val="009C28C1"/>
    <w:rsid w:val="009C2A67"/>
    <w:rsid w:val="009D4C99"/>
    <w:rsid w:val="009E4594"/>
    <w:rsid w:val="009F2810"/>
    <w:rsid w:val="009F7EED"/>
    <w:rsid w:val="00A00A66"/>
    <w:rsid w:val="00A03AB0"/>
    <w:rsid w:val="00A03B2A"/>
    <w:rsid w:val="00A10908"/>
    <w:rsid w:val="00A24D4B"/>
    <w:rsid w:val="00A324D5"/>
    <w:rsid w:val="00A4056D"/>
    <w:rsid w:val="00A40FE6"/>
    <w:rsid w:val="00A42B11"/>
    <w:rsid w:val="00A521F0"/>
    <w:rsid w:val="00A74E10"/>
    <w:rsid w:val="00A80636"/>
    <w:rsid w:val="00A856B9"/>
    <w:rsid w:val="00A87338"/>
    <w:rsid w:val="00A92316"/>
    <w:rsid w:val="00AB0E26"/>
    <w:rsid w:val="00AB4939"/>
    <w:rsid w:val="00AC2FE4"/>
    <w:rsid w:val="00AC73E8"/>
    <w:rsid w:val="00AC7D83"/>
    <w:rsid w:val="00AD4BDC"/>
    <w:rsid w:val="00AE06F2"/>
    <w:rsid w:val="00AE313E"/>
    <w:rsid w:val="00AE46F3"/>
    <w:rsid w:val="00AF0AAB"/>
    <w:rsid w:val="00AF0CE4"/>
    <w:rsid w:val="00AF4C80"/>
    <w:rsid w:val="00B06469"/>
    <w:rsid w:val="00B2731A"/>
    <w:rsid w:val="00B36B10"/>
    <w:rsid w:val="00B36E58"/>
    <w:rsid w:val="00B45443"/>
    <w:rsid w:val="00B47769"/>
    <w:rsid w:val="00B559D1"/>
    <w:rsid w:val="00B56F9E"/>
    <w:rsid w:val="00B601B2"/>
    <w:rsid w:val="00B64967"/>
    <w:rsid w:val="00B75062"/>
    <w:rsid w:val="00B77D23"/>
    <w:rsid w:val="00B82B02"/>
    <w:rsid w:val="00B87544"/>
    <w:rsid w:val="00B924FB"/>
    <w:rsid w:val="00B96E10"/>
    <w:rsid w:val="00BA206D"/>
    <w:rsid w:val="00BB4BB4"/>
    <w:rsid w:val="00BC5382"/>
    <w:rsid w:val="00BD477C"/>
    <w:rsid w:val="00BE7ECE"/>
    <w:rsid w:val="00BF597E"/>
    <w:rsid w:val="00BF612A"/>
    <w:rsid w:val="00BF63A3"/>
    <w:rsid w:val="00C03B19"/>
    <w:rsid w:val="00C06D54"/>
    <w:rsid w:val="00C122F9"/>
    <w:rsid w:val="00C1336C"/>
    <w:rsid w:val="00C2092E"/>
    <w:rsid w:val="00C26678"/>
    <w:rsid w:val="00C315A5"/>
    <w:rsid w:val="00C36056"/>
    <w:rsid w:val="00C407A4"/>
    <w:rsid w:val="00C40D2F"/>
    <w:rsid w:val="00C51A36"/>
    <w:rsid w:val="00C55228"/>
    <w:rsid w:val="00C63768"/>
    <w:rsid w:val="00C658AB"/>
    <w:rsid w:val="00C72A05"/>
    <w:rsid w:val="00C7514B"/>
    <w:rsid w:val="00C77034"/>
    <w:rsid w:val="00C803EE"/>
    <w:rsid w:val="00C95618"/>
    <w:rsid w:val="00CB4775"/>
    <w:rsid w:val="00CB5105"/>
    <w:rsid w:val="00CC5FC1"/>
    <w:rsid w:val="00CD31FD"/>
    <w:rsid w:val="00CD44C4"/>
    <w:rsid w:val="00CD6A70"/>
    <w:rsid w:val="00CE315A"/>
    <w:rsid w:val="00CE4CD2"/>
    <w:rsid w:val="00D06F59"/>
    <w:rsid w:val="00D06F9E"/>
    <w:rsid w:val="00D128EF"/>
    <w:rsid w:val="00D20FDD"/>
    <w:rsid w:val="00D21766"/>
    <w:rsid w:val="00D21A23"/>
    <w:rsid w:val="00D37B74"/>
    <w:rsid w:val="00D511D8"/>
    <w:rsid w:val="00D51BC9"/>
    <w:rsid w:val="00D523F5"/>
    <w:rsid w:val="00D5750A"/>
    <w:rsid w:val="00D60569"/>
    <w:rsid w:val="00D638E6"/>
    <w:rsid w:val="00D64586"/>
    <w:rsid w:val="00D72DE7"/>
    <w:rsid w:val="00D75D59"/>
    <w:rsid w:val="00D8388C"/>
    <w:rsid w:val="00D8474B"/>
    <w:rsid w:val="00D9320B"/>
    <w:rsid w:val="00D94F09"/>
    <w:rsid w:val="00DB60AD"/>
    <w:rsid w:val="00DB6A55"/>
    <w:rsid w:val="00DB7E69"/>
    <w:rsid w:val="00DD33DB"/>
    <w:rsid w:val="00DD429E"/>
    <w:rsid w:val="00DE28CC"/>
    <w:rsid w:val="00DE4D6D"/>
    <w:rsid w:val="00DE595B"/>
    <w:rsid w:val="00DF1100"/>
    <w:rsid w:val="00E10A4B"/>
    <w:rsid w:val="00E12658"/>
    <w:rsid w:val="00E16D3B"/>
    <w:rsid w:val="00E23BC1"/>
    <w:rsid w:val="00E261AE"/>
    <w:rsid w:val="00E348B3"/>
    <w:rsid w:val="00E361DE"/>
    <w:rsid w:val="00E402CD"/>
    <w:rsid w:val="00E43FFD"/>
    <w:rsid w:val="00E46E99"/>
    <w:rsid w:val="00E53D71"/>
    <w:rsid w:val="00E6224C"/>
    <w:rsid w:val="00E63724"/>
    <w:rsid w:val="00E7240B"/>
    <w:rsid w:val="00E7379E"/>
    <w:rsid w:val="00E73DD8"/>
    <w:rsid w:val="00E92F55"/>
    <w:rsid w:val="00EA0B69"/>
    <w:rsid w:val="00EA37D1"/>
    <w:rsid w:val="00EB0164"/>
    <w:rsid w:val="00EB1C22"/>
    <w:rsid w:val="00EB3D2A"/>
    <w:rsid w:val="00EB5592"/>
    <w:rsid w:val="00EC4987"/>
    <w:rsid w:val="00EC53EC"/>
    <w:rsid w:val="00ED0F62"/>
    <w:rsid w:val="00ED3D99"/>
    <w:rsid w:val="00ED6A4D"/>
    <w:rsid w:val="00EE4C2D"/>
    <w:rsid w:val="00EE68A8"/>
    <w:rsid w:val="00EF1DE1"/>
    <w:rsid w:val="00EF246D"/>
    <w:rsid w:val="00EF749E"/>
    <w:rsid w:val="00F066F7"/>
    <w:rsid w:val="00F155A7"/>
    <w:rsid w:val="00F15BC0"/>
    <w:rsid w:val="00F15D64"/>
    <w:rsid w:val="00F160DF"/>
    <w:rsid w:val="00F20015"/>
    <w:rsid w:val="00F21087"/>
    <w:rsid w:val="00F314DF"/>
    <w:rsid w:val="00F35254"/>
    <w:rsid w:val="00F37CB8"/>
    <w:rsid w:val="00F400F4"/>
    <w:rsid w:val="00F4354E"/>
    <w:rsid w:val="00F4538A"/>
    <w:rsid w:val="00F51DFC"/>
    <w:rsid w:val="00F6347C"/>
    <w:rsid w:val="00F74A85"/>
    <w:rsid w:val="00F82A5B"/>
    <w:rsid w:val="00F85D84"/>
    <w:rsid w:val="00F869EB"/>
    <w:rsid w:val="00F90598"/>
    <w:rsid w:val="00F95ED5"/>
    <w:rsid w:val="00F97689"/>
    <w:rsid w:val="00F97A10"/>
    <w:rsid w:val="00FA6D2C"/>
    <w:rsid w:val="00FA7AE7"/>
    <w:rsid w:val="00FB0156"/>
    <w:rsid w:val="00FB10C6"/>
    <w:rsid w:val="00FB7865"/>
    <w:rsid w:val="00FC0497"/>
    <w:rsid w:val="00FC47BD"/>
    <w:rsid w:val="00FD631E"/>
    <w:rsid w:val="00FD662D"/>
    <w:rsid w:val="00FE0DBA"/>
    <w:rsid w:val="00FE46BD"/>
    <w:rsid w:val="00FE4EEF"/>
    <w:rsid w:val="00FE7093"/>
    <w:rsid w:val="00FE7902"/>
    <w:rsid w:val="00FE7B89"/>
    <w:rsid w:val="00FF33C4"/>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13341"/>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AF14E51"/>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569E9"/>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5323F"/>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39A1"/>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6F39D7"/>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0E170F"/>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4430DC"/>
    <w:rsid w:val="44586E1C"/>
    <w:rsid w:val="447A268A"/>
    <w:rsid w:val="44A527AB"/>
    <w:rsid w:val="44A567F5"/>
    <w:rsid w:val="453B1EBC"/>
    <w:rsid w:val="45635AEC"/>
    <w:rsid w:val="45BA54FA"/>
    <w:rsid w:val="45C810D7"/>
    <w:rsid w:val="45D21E5B"/>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8F75B3"/>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D32AE1"/>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1474E44"/>
    <w:rsid w:val="724D262A"/>
    <w:rsid w:val="72702455"/>
    <w:rsid w:val="728F2E47"/>
    <w:rsid w:val="72973011"/>
    <w:rsid w:val="72CD6505"/>
    <w:rsid w:val="72E25592"/>
    <w:rsid w:val="72E42D1B"/>
    <w:rsid w:val="72E75DED"/>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C7432F"/>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5">
    <w:name w:val="annotation text"/>
    <w:basedOn w:val="1"/>
    <w:link w:val="22"/>
    <w:semiHidden/>
    <w:unhideWhenUsed/>
    <w:qFormat/>
    <w:uiPriority w:val="99"/>
    <w:pPr>
      <w:jc w:val="left"/>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paragraph" w:styleId="10">
    <w:name w:val="annotation subject"/>
    <w:basedOn w:val="5"/>
    <w:next w:val="5"/>
    <w:link w:val="23"/>
    <w:semiHidden/>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8"/>
    <w:qFormat/>
    <w:uiPriority w:val="99"/>
    <w:rPr>
      <w:rFonts w:ascii="Times New Roman" w:hAnsi="Times New Roman" w:eastAsia="宋体" w:cs="Times New Roman"/>
      <w:sz w:val="18"/>
      <w:szCs w:val="18"/>
    </w:rPr>
  </w:style>
  <w:style w:type="character" w:customStyle="1" w:styleId="16">
    <w:name w:val="页脚 字符"/>
    <w:basedOn w:val="13"/>
    <w:link w:val="7"/>
    <w:qFormat/>
    <w:uiPriority w:val="99"/>
    <w:rPr>
      <w:rFonts w:ascii="Times New Roman" w:hAnsi="Times New Roman" w:eastAsia="宋体" w:cs="Times New Roman"/>
      <w:sz w:val="18"/>
      <w:szCs w:val="18"/>
    </w:rPr>
  </w:style>
  <w:style w:type="character" w:customStyle="1" w:styleId="17">
    <w:name w:val="批注框文本 字符"/>
    <w:basedOn w:val="13"/>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text|1"/>
    <w:basedOn w:val="1"/>
    <w:qFormat/>
    <w:uiPriority w:val="0"/>
    <w:pPr>
      <w:spacing w:after="80"/>
    </w:pPr>
    <w:rPr>
      <w:rFonts w:ascii="MingLiU" w:hAnsi="MingLiU" w:eastAsia="MingLiU" w:cs="MingLiU"/>
      <w:sz w:val="20"/>
      <w:lang w:val="zh-TW" w:eastAsia="zh-TW" w:bidi="zh-TW"/>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1">
    <w:name w:val="List Paragraph"/>
    <w:basedOn w:val="1"/>
    <w:qFormat/>
    <w:uiPriority w:val="99"/>
    <w:pPr>
      <w:ind w:firstLine="420" w:firstLineChars="200"/>
    </w:pPr>
  </w:style>
  <w:style w:type="character" w:customStyle="1" w:styleId="22">
    <w:name w:val="批注文字 字符"/>
    <w:basedOn w:val="13"/>
    <w:link w:val="5"/>
    <w:semiHidden/>
    <w:qFormat/>
    <w:uiPriority w:val="99"/>
    <w:rPr>
      <w:kern w:val="2"/>
      <w:sz w:val="21"/>
    </w:rPr>
  </w:style>
  <w:style w:type="character" w:customStyle="1" w:styleId="23">
    <w:name w:val="批注主题 字符"/>
    <w:basedOn w:val="22"/>
    <w:link w:val="10"/>
    <w:semiHidden/>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93ADF-5842-4D98-A73C-34F370B8DB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7689</Words>
  <Characters>8430</Characters>
  <Lines>82</Lines>
  <Paragraphs>23</Paragraphs>
  <TotalTime>8</TotalTime>
  <ScaleCrop>false</ScaleCrop>
  <LinksUpToDate>false</LinksUpToDate>
  <CharactersWithSpaces>9566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2021-03-10T09:57:00Z</dcterms:created>
  <dc:creator>微软用户</dc:creator>
  <cp:lastModifiedBy>肖新龙</cp:lastModifiedBy>
  <dcterms:modified xsi:type="dcterms:W3CDTF">2022-07-06T01:54:16Z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59777BC33BE147EA923F46017B45EC7C</vt:lpwstr>
  </property>
</Properties>
</file>