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405" w:firstLineChars="5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抢喷装置卡瓦座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高度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542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抢喷装置卡瓦座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高度测量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生产技术部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抢喷装置卡瓦座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YJSY-ZD-202001《游标卡尺测量作业指导书》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其他影响量：  无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，校准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长万字校2022-Y02421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9.5pt;width:147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≤1时，测量过程有效。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</w:t>
            </w:r>
            <w:r>
              <w:rPr>
                <w:rFonts w:hint="eastAsi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-129540</wp:posOffset>
                  </wp:positionV>
                  <wp:extent cx="678815" cy="335280"/>
                  <wp:effectExtent l="0" t="0" r="6985" b="762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AC00ACD"/>
    <w:rsid w:val="1CDF0111"/>
    <w:rsid w:val="1D6C4CA0"/>
    <w:rsid w:val="1EE64F1E"/>
    <w:rsid w:val="1F937E70"/>
    <w:rsid w:val="20072A16"/>
    <w:rsid w:val="202136E5"/>
    <w:rsid w:val="216B25A1"/>
    <w:rsid w:val="236A7630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0C15B99"/>
    <w:rsid w:val="31476007"/>
    <w:rsid w:val="3163198C"/>
    <w:rsid w:val="3287470F"/>
    <w:rsid w:val="32FA3A10"/>
    <w:rsid w:val="331049B2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AC4F31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2022-06-25T02:49:04Z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0A860F5D495947D69FD519108D34C8C1</vt:lpwstr>
  </property>
</Properties>
</file>