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56"/>
        <w:gridCol w:w="234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5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广东粤盛特种建材有限公司</w:t>
            </w:r>
            <w:bookmarkEnd w:id="11"/>
          </w:p>
        </w:tc>
        <w:tc>
          <w:tcPr>
            <w:tcW w:w="23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温丽丽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5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spacing w:line="400" w:lineRule="exact"/>
              <w:jc w:val="both"/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提供的“适用的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 xml:space="preserve">法律法规与其他要求清单”中《中华人民共和国环境噪声污染防治法》《国家危险废物名录》《中华人民共和国消防法》《中华人民共和国安全生产法》非现行有效版本。 </w:t>
            </w:r>
          </w:p>
          <w:p>
            <w:pPr>
              <w:pStyle w:val="2"/>
              <w:spacing w:line="400" w:lineRule="exact"/>
              <w:jc w:val="both"/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2807335</wp:posOffset>
                  </wp:positionH>
                  <wp:positionV relativeFrom="paragraph">
                    <wp:posOffset>5080</wp:posOffset>
                  </wp:positionV>
                  <wp:extent cx="1056005" cy="50863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93980</wp:posOffset>
                  </wp:positionV>
                  <wp:extent cx="622300" cy="4254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8386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MingLiU" w:hAnsi="Courier New" w:eastAsia="MingLiU"/>
      <w:sz w:val="24"/>
      <w:lang w:eastAsia="zh-TW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2022-07-28T02:01:56Z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