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0821-2022-QEO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保定科建交通工程有限公司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保定科建交通工程有限公司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博野县小店村</w:t>
            </w:r>
            <w:bookmarkEnd w:id="6"/>
          </w:p>
        </w:tc>
        <w:tc>
          <w:tcPr>
            <w:tcW w:w="1242" w:type="dxa"/>
            <w:vMerge w:val="restart"/>
            <w:vAlign w:val="center"/>
          </w:tcPr>
          <w:p>
            <w:r>
              <w:rPr>
                <w:rFonts w:hint="eastAsia"/>
              </w:rPr>
              <w:t>邮编</w:t>
            </w:r>
          </w:p>
        </w:tc>
        <w:tc>
          <w:tcPr>
            <w:tcW w:w="1771" w:type="dxa"/>
          </w:tcPr>
          <w:p>
            <w:bookmarkStart w:id="7" w:name="注册邮编"/>
            <w:r>
              <w:t>071300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博野县小店村</w:t>
            </w:r>
            <w:bookmarkEnd w:id="8"/>
          </w:p>
        </w:tc>
        <w:tc>
          <w:tcPr>
            <w:tcW w:w="1242" w:type="dxa"/>
            <w:vMerge w:val="continue"/>
            <w:vAlign w:val="center"/>
          </w:tcPr>
          <w:p/>
        </w:tc>
        <w:tc>
          <w:tcPr>
            <w:tcW w:w="1771" w:type="dxa"/>
          </w:tcPr>
          <w:p>
            <w:bookmarkStart w:id="9" w:name="办公邮编"/>
            <w:r>
              <w:t>071300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辛文杰</w:t>
            </w:r>
            <w:bookmarkEnd w:id="10"/>
          </w:p>
        </w:tc>
        <w:tc>
          <w:tcPr>
            <w:tcW w:w="1313" w:type="dxa"/>
            <w:vAlign w:val="center"/>
          </w:tcPr>
          <w:p>
            <w:r>
              <w:rPr>
                <w:rFonts w:hint="eastAsia"/>
              </w:rPr>
              <w:t>电话.</w:t>
            </w:r>
          </w:p>
        </w:tc>
        <w:tc>
          <w:tcPr>
            <w:tcW w:w="2180" w:type="dxa"/>
            <w:vAlign w:val="center"/>
          </w:tcPr>
          <w:p>
            <w:bookmarkStart w:id="11" w:name="联系人电话"/>
            <w:r>
              <w:t>13932211318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辛文杰</w:t>
            </w:r>
            <w:bookmarkEnd w:id="13"/>
          </w:p>
        </w:tc>
        <w:tc>
          <w:tcPr>
            <w:tcW w:w="1313" w:type="dxa"/>
            <w:vAlign w:val="center"/>
          </w:tcPr>
          <w:p>
            <w:r>
              <w:rPr>
                <w:rFonts w:hint="eastAsia"/>
              </w:rPr>
              <w:t>管理者代表</w:t>
            </w:r>
          </w:p>
        </w:tc>
        <w:tc>
          <w:tcPr>
            <w:tcW w:w="2180" w:type="dxa"/>
          </w:tcPr>
          <w:p>
            <w:bookmarkStart w:id="14" w:name="管理者代表"/>
            <w:r>
              <w:t>辛文杰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rPr>
            </w:pPr>
            <w:r>
              <w:rPr>
                <w:rFonts w:hint="eastAsia"/>
                <w:color w:val="000000"/>
              </w:rPr>
              <w:t>客户接触----合同评审----签订合同--填立项单---下料（石油树脂、钛白粉（中黄）、玻璃微珠）原料 --- 投料--混合搅拌--出料封装--成品 --检验</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2022年06月18日 上午至2022年06月19日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color w:val="000000"/>
              </w:rPr>
              <w:t>博野县小店村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Q：道路反光涂料的生产</w:t>
            </w:r>
          </w:p>
          <w:p>
            <w:r>
              <w:t>E：道路反光涂料的生产所涉及场所的相关环境管理活动</w:t>
            </w:r>
          </w:p>
          <w:p>
            <w:r>
              <w:t>O：道路反光涂料的生产所涉及场所的相关职业健康安全管理活动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Q：12.03.00</w:t>
            </w:r>
          </w:p>
          <w:p>
            <w:r>
              <w:t>E：12.03.00</w:t>
            </w:r>
          </w:p>
          <w:p>
            <w:r>
              <w:t>O：12.03.00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2021年11月15日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保定科建交通工程有限公司</w:t>
            </w:r>
            <w:r>
              <w:rPr>
                <w:rFonts w:hint="eastAsia"/>
                <w:sz w:val="21"/>
                <w:szCs w:val="21"/>
                <w:lang w:val="en-US" w:eastAsia="zh-CN"/>
              </w:rPr>
              <w:t>/</w:t>
            </w:r>
            <w:r>
              <w:rPr>
                <w:rFonts w:asciiTheme="minorEastAsia" w:hAnsiTheme="minorEastAsia" w:eastAsiaTheme="minorEastAsia"/>
                <w:sz w:val="20"/>
              </w:rPr>
              <w:t>博野县小店村</w:t>
            </w:r>
          </w:p>
        </w:tc>
        <w:tc>
          <w:tcPr>
            <w:tcW w:w="2267" w:type="dxa"/>
          </w:tcPr>
          <w:p>
            <w:pPr>
              <w:rPr>
                <w:lang w:val="de-DE" w:eastAsia="ja-JP"/>
              </w:rPr>
            </w:pPr>
            <w:r>
              <w:rPr>
                <w:rFonts w:asciiTheme="minorEastAsia" w:hAnsiTheme="minorEastAsia" w:eastAsiaTheme="minorEastAsia"/>
                <w:sz w:val="20"/>
              </w:rPr>
              <w:t>博野县小店村</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sz w:val="20"/>
              </w:rPr>
            </w:pPr>
            <w:r>
              <w:rPr>
                <w:sz w:val="20"/>
              </w:rPr>
              <w:t>Q：道路反光涂料的生产</w:t>
            </w:r>
          </w:p>
          <w:p>
            <w:pPr>
              <w:rPr>
                <w:sz w:val="20"/>
              </w:rPr>
            </w:pPr>
            <w:r>
              <w:rPr>
                <w:sz w:val="20"/>
              </w:rPr>
              <w:t>E：道路反光涂料的生产所涉及场所的相关环境管理活动</w:t>
            </w:r>
          </w:p>
          <w:p>
            <w:pPr>
              <w:rPr>
                <w:lang w:eastAsia="ja-JP"/>
              </w:rPr>
            </w:pPr>
            <w:r>
              <w:rPr>
                <w:sz w:val="20"/>
              </w:rPr>
              <w:t>O：道路反光涂料的生产所涉及场所的相关职业健康安全管理活动</w:t>
            </w:r>
          </w:p>
        </w:tc>
        <w:tc>
          <w:tcPr>
            <w:tcW w:w="669" w:type="dxa"/>
            <w:vAlign w:val="center"/>
          </w:tcPr>
          <w:p>
            <w:pPr>
              <w:rPr>
                <w:rFonts w:hint="eastAsia"/>
              </w:rPr>
            </w:pPr>
            <w:r>
              <w:rPr>
                <w:rFonts w:hint="eastAsia"/>
              </w:rPr>
              <w:t>GB/T19001-2016</w:t>
            </w:r>
          </w:p>
          <w:p>
            <w:pPr>
              <w:pStyle w:val="2"/>
              <w:rPr>
                <w:rFonts w:hint="eastAsia" w:ascii="宋体" w:hAnsi="宋体"/>
                <w:b/>
                <w:sz w:val="21"/>
                <w:szCs w:val="21"/>
              </w:rPr>
            </w:pPr>
            <w:r>
              <w:rPr>
                <w:rFonts w:hint="eastAsia" w:ascii="宋体" w:hAnsi="宋体"/>
                <w:b/>
                <w:sz w:val="21"/>
                <w:szCs w:val="21"/>
              </w:rPr>
              <w:t>GB/T24001-2016</w:t>
            </w:r>
          </w:p>
          <w:p>
            <w:pPr>
              <w:pStyle w:val="2"/>
              <w:rPr>
                <w:rFonts w:hint="eastAsia" w:ascii="宋体" w:hAnsi="宋体"/>
                <w:b/>
                <w:sz w:val="21"/>
                <w:szCs w:val="21"/>
                <w:lang w:eastAsia="ja-JP"/>
              </w:rPr>
            </w:pPr>
            <w:r>
              <w:rPr>
                <w:rFonts w:hint="eastAsia" w:ascii="宋体" w:hAnsi="宋体"/>
                <w:b/>
                <w:sz w:val="21"/>
                <w:szCs w:val="21"/>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Q:12.03.00</w:t>
            </w:r>
          </w:p>
          <w:p>
            <w:r>
              <w:t>E:12.03.00</w:t>
            </w:r>
          </w:p>
          <w:p>
            <w:r>
              <w:t>O:12.03.00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已在二阶段开具不符合报告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道路反光涂料的生产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道路反光涂料的生产所涉及场所的相关环境管理活动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道路反光涂料的生产所涉及场所的相关职业健康安全管理活动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314325</wp:posOffset>
                  </wp:positionH>
                  <wp:positionV relativeFrom="paragraph">
                    <wp:posOffset>64770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守法诚信追求精品，预防污染保护环境；</w:t>
            </w:r>
          </w:p>
          <w:p>
            <w:pPr>
              <w:shd w:val="clear" w:color="auto" w:fill="C7DAF1" w:themeFill="text2" w:themeFillTint="32"/>
              <w:rPr>
                <w:u w:val="single"/>
              </w:rPr>
            </w:pPr>
            <w:r>
              <w:rPr>
                <w:rFonts w:hint="eastAsia"/>
                <w:color w:val="000000"/>
                <w:szCs w:val="18"/>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管理部门根据标准进行产品质量把控，并编制作业指导书，销售管理部门需与客户沟通好产品质量要求，确保公司与客户双方质量要求一致；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kern w:val="0"/>
                      <w:szCs w:val="21"/>
                      <w:lang w:bidi="ar"/>
                    </w:rPr>
                    <w:t>产品出厂合格率100%</w:t>
                  </w:r>
                </w:p>
              </w:tc>
              <w:tc>
                <w:tcPr>
                  <w:tcW w:w="3136" w:type="dxa"/>
                  <w:shd w:val="clear" w:color="auto" w:fill="auto"/>
                  <w:vAlign w:val="center"/>
                </w:tcPr>
                <w:p>
                  <w:pPr>
                    <w:jc w:val="center"/>
                    <w:rPr>
                      <w:rFonts w:hint="eastAsia" w:ascii="宋体" w:hAnsi="宋体" w:eastAsia="宋体" w:cs="宋体"/>
                      <w:kern w:val="0"/>
                      <w:sz w:val="21"/>
                      <w:szCs w:val="21"/>
                      <w:lang w:val="en-GB" w:eastAsia="zh-CN" w:bidi="ar"/>
                    </w:rPr>
                  </w:pPr>
                  <w:r>
                    <w:rPr>
                      <w:rFonts w:hint="eastAsia" w:ascii="宋体" w:hAnsi="宋体" w:cs="宋体"/>
                      <w:kern w:val="0"/>
                      <w:szCs w:val="21"/>
                      <w:lang w:bidi="ar"/>
                    </w:rPr>
                    <w:t>出厂产品合格数/产品总数*100%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widowControl/>
                    <w:spacing w:before="40"/>
                    <w:jc w:val="center"/>
                    <w:rPr>
                      <w:rFonts w:hint="default" w:ascii="Times New Roman" w:hAnsi="Times New Roman" w:eastAsia="宋体" w:cs="Times New Roman"/>
                      <w:color w:val="000000"/>
                      <w:kern w:val="2"/>
                      <w:sz w:val="21"/>
                      <w:szCs w:val="18"/>
                      <w:highlight w:val="cyan"/>
                      <w:lang w:val="en-GB"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center"/>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kern w:val="0"/>
                      <w:szCs w:val="21"/>
                      <w:lang w:bidi="ar"/>
                    </w:rPr>
                    <w:t>顾客满意率95%以上</w:t>
                  </w:r>
                </w:p>
              </w:tc>
              <w:tc>
                <w:tcPr>
                  <w:tcW w:w="3136" w:type="dxa"/>
                  <w:shd w:val="clear" w:color="auto" w:fill="auto"/>
                  <w:vAlign w:val="center"/>
                </w:tcPr>
                <w:p>
                  <w:pPr>
                    <w:jc w:val="center"/>
                    <w:rPr>
                      <w:rFonts w:hint="eastAsia" w:ascii="宋体" w:hAnsi="宋体" w:eastAsia="宋体" w:cs="宋体"/>
                      <w:kern w:val="0"/>
                      <w:sz w:val="21"/>
                      <w:szCs w:val="21"/>
                      <w:lang w:val="en-US" w:eastAsia="zh-CN" w:bidi="ar"/>
                    </w:rPr>
                  </w:pPr>
                  <w:r>
                    <w:rPr>
                      <w:rFonts w:hint="eastAsia" w:ascii="宋体" w:hAnsi="宋体" w:cs="宋体"/>
                      <w:kern w:val="0"/>
                      <w:szCs w:val="21"/>
                      <w:lang w:bidi="ar"/>
                    </w:rPr>
                    <w:t>满意度调查分数/总分数*100%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widowControl/>
                    <w:spacing w:before="40"/>
                    <w:jc w:val="center"/>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搅拌机、电子秤，包装封口机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电子秤、测密仪、软化点测定仪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未进行定期校准/检定的有：软化点测定仪、测密仪、逆反射系数测量仪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生产过程</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搅拌过程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搅拌时间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lang w:val="en-US" w:eastAsia="zh-CN"/>
              </w:rPr>
              <w:t>搅拌过程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《型式检验报告》，如：冷漆白色热熔型</w:t>
            </w:r>
            <w:r>
              <w:rPr>
                <w:rFonts w:hint="eastAsia"/>
                <w:lang w:val="en-US" w:eastAsia="zh-CN"/>
              </w:rPr>
              <w:t>涂料</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2022年3月10日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2022年3月20日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守法诚信追求精品，预防污染保护环境；</w:t>
            </w:r>
          </w:p>
          <w:p>
            <w:pPr>
              <w:shd w:val="clear" w:color="auto" w:fill="EBF1DE" w:themeFill="accent3" w:themeFillTint="32"/>
              <w:rPr>
                <w:u w:val="single"/>
              </w:rPr>
            </w:pPr>
            <w:r>
              <w:rPr>
                <w:rFonts w:hint="eastAsia"/>
                <w:color w:val="000000"/>
                <w:szCs w:val="18"/>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排污许可证编号：91130637681395684C001Z</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2018年6月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center"/>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kern w:val="0"/>
                      <w:szCs w:val="21"/>
                      <w:lang w:bidi="ar"/>
                    </w:rPr>
                    <w:t>固体废弃物100%分类，合理处理</w:t>
                  </w:r>
                </w:p>
              </w:tc>
              <w:tc>
                <w:tcPr>
                  <w:tcW w:w="3136" w:type="dxa"/>
                  <w:shd w:val="clear" w:color="auto" w:fill="auto"/>
                  <w:vAlign w:val="center"/>
                </w:tcPr>
                <w:p>
                  <w:pPr>
                    <w:shd w:val="clear" w:color="auto" w:fill="EBF1DE" w:themeFill="accent3" w:themeFillTint="32"/>
                    <w:rPr>
                      <w:lang w:val="en-GB"/>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center"/>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kern w:val="0"/>
                      <w:szCs w:val="21"/>
                      <w:lang w:bidi="ar"/>
                    </w:rPr>
                    <w:t>环境污染事故发生率为零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kern w:val="0"/>
                      <w:szCs w:val="21"/>
                      <w:lang w:bidi="ar"/>
                    </w:rPr>
                    <w:t>火灾事故发生率为零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shd w:val="clear" w:color="auto" w:fill="EBF1DE" w:themeFill="accent3" w:themeFillTint="32"/>
              <w:rPr>
                <w:u w:val="single"/>
              </w:rPr>
            </w:pPr>
            <w:r>
              <w:rPr>
                <w:rFonts w:hint="eastAsia"/>
              </w:rPr>
              <w:t>主要生产设备有：</w:t>
            </w:r>
            <w:r>
              <w:rPr>
                <w:rFonts w:hint="eastAsia"/>
                <w:lang w:val="en-US" w:eastAsia="zh-CN"/>
              </w:rPr>
              <w:t>搅拌机、电子秤</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除尘器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2022年1月16日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2022年2月28日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标科（委）字【2022】第06014号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2022年3月20日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widowControl/>
              <w:spacing w:before="40"/>
              <w:jc w:val="left"/>
            </w:pPr>
            <w:r>
              <w:rPr>
                <w:rFonts w:hint="eastAsia"/>
              </w:rPr>
              <w:t>最高管理者制定了文件化的职业健康安全管理体系方针：</w:t>
            </w:r>
            <w:r>
              <w:rPr>
                <w:rFonts w:hint="eastAsia"/>
                <w:color w:val="000000"/>
                <w:szCs w:val="18"/>
              </w:rPr>
              <w:t>守法诚信追求精品，预防污染保护环境；关爱员工健康安全，持续改进追求卓越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杨月磊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日常办公生产</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kern w:val="0"/>
                      <w:szCs w:val="21"/>
                      <w:lang w:bidi="ar"/>
                    </w:rPr>
                    <w:t>重伤以上事故发生率为零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kern w:val="0"/>
                      <w:szCs w:val="21"/>
                      <w:lang w:bidi="ar"/>
                    </w:rPr>
                    <w:t>火灾事故发生率为零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rPr>
                <w:u w:val="single"/>
              </w:rPr>
            </w:pPr>
            <w:r>
              <w:rPr>
                <w:rFonts w:hint="eastAsia"/>
              </w:rPr>
              <w:t>主要生产设备有：</w:t>
            </w:r>
            <w:r>
              <w:rPr>
                <w:rFonts w:hint="eastAsia"/>
                <w:lang w:val="en-US" w:eastAsia="zh-CN"/>
              </w:rPr>
              <w:t>搅拌机、电子秤</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应急演练</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2022年1月16日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2022连月28日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2022年3月20日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064062F6"/>
    <w:rsid w:val="2B4B7AB7"/>
    <w:rsid w:val="65CB5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19178</Words>
  <Characters>20059</Characters>
  <Lines>150</Lines>
  <Paragraphs>42</Paragraphs>
  <TotalTime>1</TotalTime>
  <ScaleCrop>false</ScaleCrop>
  <LinksUpToDate>false</LinksUpToDate>
  <CharactersWithSpaces>20183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2022-06-22T01:57:18Z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