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受审核方</w:t>
            </w:r>
          </w:p>
        </w:tc>
        <w:tc>
          <w:tcPr>
            <w:tcW w:w="8530" w:type="dxa"/>
            <w:gridSpan w:val="15"/>
            <w:vAlign w:val="center"/>
          </w:tcPr>
          <w:p>
            <w:pPr>
              <w:rPr>
                <w:rFonts w:hint="eastAsia" w:ascii="宋体" w:hAnsi="宋体" w:eastAsia="宋体" w:cs="宋体"/>
                <w:sz w:val="21"/>
                <w:szCs w:val="21"/>
              </w:rPr>
            </w:pPr>
            <w:bookmarkStart w:id="0" w:name="组织名称"/>
            <w:r>
              <w:rPr>
                <w:rFonts w:hint="eastAsia" w:ascii="宋体" w:hAnsi="宋体" w:eastAsia="宋体" w:cs="宋体"/>
                <w:sz w:val="21"/>
                <w:szCs w:val="21"/>
              </w:rPr>
              <w:t>杭州泽庄农副产品有限公司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注册地址（同营业执照）</w:t>
            </w:r>
          </w:p>
        </w:tc>
        <w:tc>
          <w:tcPr>
            <w:tcW w:w="8530" w:type="dxa"/>
            <w:gridSpan w:val="15"/>
            <w:vAlign w:val="center"/>
          </w:tcPr>
          <w:p>
            <w:pPr>
              <w:rPr>
                <w:rFonts w:hint="eastAsia" w:ascii="宋体" w:hAnsi="宋体" w:eastAsia="宋体" w:cs="宋体"/>
                <w:sz w:val="21"/>
                <w:szCs w:val="21"/>
              </w:rPr>
            </w:pPr>
            <w:bookmarkStart w:id="1" w:name="注册地址"/>
            <w:r>
              <w:rPr>
                <w:rFonts w:hint="eastAsia" w:ascii="宋体" w:hAnsi="宋体" w:eastAsia="宋体" w:cs="宋体"/>
                <w:sz w:val="21"/>
                <w:szCs w:val="21"/>
              </w:rPr>
              <w:t>浙江省杭州市余杭区仁和街道双陈村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经营地址（同审核现场）</w:t>
            </w:r>
          </w:p>
        </w:tc>
        <w:tc>
          <w:tcPr>
            <w:tcW w:w="8530" w:type="dxa"/>
            <w:gridSpan w:val="15"/>
            <w:vAlign w:val="center"/>
          </w:tcPr>
          <w:p>
            <w:pPr>
              <w:rPr>
                <w:rFonts w:hint="eastAsia" w:ascii="宋体" w:hAnsi="宋体" w:eastAsia="宋体" w:cs="宋体"/>
                <w:sz w:val="21"/>
                <w:szCs w:val="21"/>
              </w:rPr>
            </w:pPr>
            <w:bookmarkStart w:id="2" w:name="生产地址"/>
            <w:r>
              <w:rPr>
                <w:rFonts w:hint="eastAsia" w:ascii="宋体" w:hAnsi="宋体" w:eastAsia="宋体" w:cs="宋体"/>
                <w:sz w:val="21"/>
                <w:szCs w:val="21"/>
              </w:rPr>
              <w:t>浙江省杭州市余杭区仁和街道双陈村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合同编号</w:t>
            </w:r>
          </w:p>
        </w:tc>
        <w:tc>
          <w:tcPr>
            <w:tcW w:w="3837" w:type="dxa"/>
            <w:gridSpan w:val="4"/>
            <w:vAlign w:val="center"/>
          </w:tcPr>
          <w:p>
            <w:pPr>
              <w:rPr>
                <w:rFonts w:hint="eastAsia" w:ascii="宋体" w:hAnsi="宋体" w:eastAsia="宋体" w:cs="宋体"/>
                <w:sz w:val="21"/>
                <w:szCs w:val="21"/>
              </w:rPr>
            </w:pPr>
            <w:bookmarkStart w:id="3" w:name="合同编号"/>
            <w:r>
              <w:rPr>
                <w:rFonts w:hint="eastAsia" w:ascii="宋体" w:hAnsi="宋体" w:eastAsia="宋体" w:cs="宋体"/>
                <w:sz w:val="21"/>
                <w:szCs w:val="21"/>
              </w:rPr>
              <w:t>0826-2022-H</w:t>
            </w:r>
            <w:bookmarkEnd w:id="3"/>
          </w:p>
        </w:tc>
        <w:tc>
          <w:tcPr>
            <w:tcW w:w="1071" w:type="dxa"/>
            <w:gridSpan w:val="4"/>
            <w:vAlign w:val="center"/>
          </w:tcPr>
          <w:p>
            <w:pPr>
              <w:rPr>
                <w:rFonts w:hint="eastAsia" w:ascii="宋体" w:hAnsi="宋体" w:eastAsia="宋体" w:cs="宋体"/>
                <w:sz w:val="21"/>
                <w:szCs w:val="21"/>
              </w:rPr>
            </w:pPr>
            <w:r>
              <w:rPr>
                <w:rFonts w:hint="eastAsia" w:ascii="宋体" w:hAnsi="宋体" w:eastAsia="宋体" w:cs="宋体"/>
                <w:sz w:val="21"/>
                <w:szCs w:val="21"/>
              </w:rPr>
              <w:t>审核领域</w:t>
            </w:r>
          </w:p>
        </w:tc>
        <w:tc>
          <w:tcPr>
            <w:tcW w:w="3622" w:type="dxa"/>
            <w:gridSpan w:val="7"/>
            <w:vAlign w:val="center"/>
          </w:tcPr>
          <w:p>
            <w:pPr>
              <w:rPr>
                <w:rFonts w:hint="eastAsia" w:ascii="宋体" w:hAnsi="宋体" w:eastAsia="宋体" w:cs="宋体"/>
                <w:spacing w:val="-2"/>
                <w:sz w:val="21"/>
                <w:szCs w:val="21"/>
              </w:rPr>
            </w:pPr>
            <w:bookmarkStart w:id="4" w:name="Q勾选"/>
            <w:r>
              <w:rPr>
                <w:rFonts w:hint="eastAsia" w:ascii="宋体" w:hAnsi="宋体" w:eastAsia="宋体" w:cs="宋体"/>
                <w:sz w:val="21"/>
                <w:szCs w:val="21"/>
              </w:rPr>
              <w:t>□</w:t>
            </w:r>
            <w:bookmarkEnd w:id="4"/>
            <w:r>
              <w:rPr>
                <w:rFonts w:hint="eastAsia" w:ascii="宋体" w:hAnsi="宋体" w:eastAsia="宋体" w:cs="宋体"/>
                <w:spacing w:val="-2"/>
                <w:sz w:val="21"/>
                <w:szCs w:val="21"/>
              </w:rPr>
              <w:t>QMS</w:t>
            </w:r>
            <w:bookmarkStart w:id="5" w:name="QJ勾选"/>
            <w:r>
              <w:rPr>
                <w:rFonts w:hint="eastAsia" w:ascii="宋体" w:hAnsi="宋体" w:eastAsia="宋体" w:cs="宋体"/>
                <w:sz w:val="21"/>
                <w:szCs w:val="21"/>
              </w:rPr>
              <w:t>□</w:t>
            </w:r>
            <w:bookmarkEnd w:id="5"/>
            <w:r>
              <w:rPr>
                <w:rFonts w:hint="eastAsia" w:ascii="宋体" w:hAnsi="宋体" w:eastAsia="宋体" w:cs="宋体"/>
                <w:sz w:val="21"/>
                <w:szCs w:val="21"/>
              </w:rPr>
              <w:t>50430</w:t>
            </w:r>
            <w:bookmarkStart w:id="6" w:name="E勾选"/>
            <w:r>
              <w:rPr>
                <w:rFonts w:hint="eastAsia" w:ascii="宋体" w:hAnsi="宋体" w:eastAsia="宋体" w:cs="宋体"/>
                <w:sz w:val="21"/>
                <w:szCs w:val="21"/>
              </w:rPr>
              <w:t>□</w:t>
            </w:r>
            <w:bookmarkEnd w:id="6"/>
            <w:r>
              <w:rPr>
                <w:rFonts w:hint="eastAsia" w:ascii="宋体" w:hAnsi="宋体" w:eastAsia="宋体" w:cs="宋体"/>
                <w:spacing w:val="-2"/>
                <w:sz w:val="21"/>
                <w:szCs w:val="21"/>
              </w:rPr>
              <w:t>EMS</w:t>
            </w:r>
            <w:bookmarkStart w:id="7" w:name="S勾选"/>
            <w:r>
              <w:rPr>
                <w:rFonts w:hint="eastAsia" w:ascii="宋体" w:hAnsi="宋体" w:eastAsia="宋体" w:cs="宋体"/>
                <w:sz w:val="21"/>
                <w:szCs w:val="21"/>
              </w:rPr>
              <w:t>□</w:t>
            </w:r>
            <w:bookmarkEnd w:id="7"/>
            <w:r>
              <w:rPr>
                <w:rFonts w:hint="eastAsia" w:ascii="宋体" w:hAnsi="宋体" w:eastAsia="宋体" w:cs="宋体"/>
                <w:spacing w:val="-2"/>
                <w:sz w:val="21"/>
                <w:szCs w:val="21"/>
              </w:rPr>
              <w:t xml:space="preserve">OHSMS </w:t>
            </w:r>
          </w:p>
          <w:p>
            <w:pPr>
              <w:rPr>
                <w:rFonts w:hint="eastAsia" w:ascii="宋体" w:hAnsi="宋体" w:eastAsia="宋体" w:cs="宋体"/>
                <w:sz w:val="21"/>
                <w:szCs w:val="21"/>
              </w:rPr>
            </w:pPr>
            <w:bookmarkStart w:id="8" w:name="F勾选"/>
            <w:r>
              <w:rPr>
                <w:rFonts w:hint="eastAsia" w:ascii="宋体" w:hAnsi="宋体" w:eastAsia="宋体" w:cs="宋体"/>
                <w:sz w:val="21"/>
                <w:szCs w:val="21"/>
              </w:rPr>
              <w:t>□</w:t>
            </w:r>
            <w:bookmarkEnd w:id="8"/>
            <w:r>
              <w:rPr>
                <w:rFonts w:hint="eastAsia" w:ascii="宋体" w:hAnsi="宋体" w:eastAsia="宋体" w:cs="宋体"/>
                <w:spacing w:val="-2"/>
                <w:sz w:val="21"/>
                <w:szCs w:val="21"/>
              </w:rPr>
              <w:t xml:space="preserve">FSMS </w:t>
            </w:r>
            <w:bookmarkStart w:id="9" w:name="H勾选"/>
            <w:r>
              <w:rPr>
                <w:rFonts w:hint="eastAsia" w:ascii="宋体" w:hAnsi="宋体" w:eastAsia="宋体" w:cs="宋体"/>
                <w:sz w:val="21"/>
                <w:szCs w:val="21"/>
              </w:rPr>
              <w:t>■</w:t>
            </w:r>
            <w:bookmarkEnd w:id="9"/>
            <w:r>
              <w:rPr>
                <w:rFonts w:hint="eastAsia" w:ascii="宋体" w:hAnsi="宋体" w:eastAsia="宋体" w:cs="宋体"/>
                <w:spacing w:val="-2"/>
                <w:sz w:val="21"/>
                <w:szCs w:val="21"/>
              </w:rPr>
              <w:t xml:space="preserve">HACCP  </w:t>
            </w:r>
            <w:bookmarkStart w:id="10" w:name="EnMS勾选"/>
            <w:r>
              <w:rPr>
                <w:rFonts w:hint="eastAsia" w:ascii="宋体" w:hAnsi="宋体" w:eastAsia="宋体" w:cs="宋体"/>
                <w:sz w:val="21"/>
                <w:szCs w:val="21"/>
              </w:rPr>
              <w:t>□</w:t>
            </w:r>
            <w:bookmarkEnd w:id="10"/>
            <w:r>
              <w:rPr>
                <w:rFonts w:hint="eastAsia" w:ascii="宋体" w:hAnsi="宋体" w:eastAsia="宋体" w:cs="宋体"/>
                <w:spacing w:val="-2"/>
                <w:sz w:val="21"/>
                <w:szCs w:val="21"/>
              </w:rPr>
              <w:t>EnMS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联系人</w:t>
            </w:r>
          </w:p>
        </w:tc>
        <w:tc>
          <w:tcPr>
            <w:tcW w:w="3837" w:type="dxa"/>
            <w:gridSpan w:val="4"/>
            <w:vAlign w:val="center"/>
          </w:tcPr>
          <w:p>
            <w:pPr>
              <w:rPr>
                <w:rFonts w:hint="eastAsia" w:ascii="宋体" w:hAnsi="宋体" w:eastAsia="宋体" w:cs="宋体"/>
                <w:sz w:val="21"/>
                <w:szCs w:val="21"/>
              </w:rPr>
            </w:pPr>
            <w:bookmarkStart w:id="11" w:name="联系人"/>
            <w:r>
              <w:rPr>
                <w:rFonts w:hint="eastAsia" w:ascii="宋体" w:hAnsi="宋体" w:eastAsia="宋体" w:cs="宋体"/>
                <w:sz w:val="21"/>
                <w:szCs w:val="21"/>
              </w:rPr>
              <w:t>高飞</w:t>
            </w:r>
            <w:bookmarkEnd w:id="11"/>
          </w:p>
        </w:tc>
        <w:tc>
          <w:tcPr>
            <w:tcW w:w="1071" w:type="dxa"/>
            <w:gridSpan w:val="4"/>
            <w:vAlign w:val="center"/>
          </w:tcPr>
          <w:p>
            <w:pPr>
              <w:rPr>
                <w:rFonts w:hint="eastAsia" w:ascii="宋体" w:hAnsi="宋体" w:eastAsia="宋体" w:cs="宋体"/>
                <w:sz w:val="21"/>
                <w:szCs w:val="21"/>
              </w:rPr>
            </w:pPr>
            <w:r>
              <w:rPr>
                <w:rFonts w:hint="eastAsia" w:ascii="宋体" w:hAnsi="宋体" w:eastAsia="宋体" w:cs="宋体"/>
                <w:sz w:val="21"/>
                <w:szCs w:val="21"/>
              </w:rPr>
              <w:t>联系电话</w:t>
            </w:r>
          </w:p>
        </w:tc>
        <w:tc>
          <w:tcPr>
            <w:tcW w:w="1791" w:type="dxa"/>
            <w:gridSpan w:val="4"/>
            <w:vAlign w:val="center"/>
          </w:tcPr>
          <w:p>
            <w:pPr>
              <w:rPr>
                <w:rFonts w:hint="eastAsia" w:ascii="宋体" w:hAnsi="宋体" w:eastAsia="宋体" w:cs="宋体"/>
                <w:sz w:val="21"/>
                <w:szCs w:val="21"/>
              </w:rPr>
            </w:pPr>
            <w:bookmarkStart w:id="12" w:name="联系人电话"/>
            <w:r>
              <w:rPr>
                <w:rFonts w:hint="eastAsia" w:ascii="宋体" w:hAnsi="宋体" w:eastAsia="宋体" w:cs="宋体"/>
                <w:sz w:val="21"/>
                <w:szCs w:val="21"/>
              </w:rPr>
              <w:t>0571-88581066</w:t>
            </w:r>
            <w:bookmarkEnd w:id="12"/>
          </w:p>
        </w:tc>
        <w:tc>
          <w:tcPr>
            <w:tcW w:w="618"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邮箱</w:t>
            </w:r>
          </w:p>
        </w:tc>
        <w:tc>
          <w:tcPr>
            <w:tcW w:w="1213" w:type="dxa"/>
            <w:gridSpan w:val="2"/>
            <w:vMerge w:val="restart"/>
            <w:vAlign w:val="center"/>
          </w:tcPr>
          <w:p>
            <w:pPr>
              <w:rPr>
                <w:rFonts w:hint="eastAsia" w:ascii="宋体" w:hAnsi="宋体" w:eastAsia="宋体" w:cs="宋体"/>
                <w:sz w:val="21"/>
                <w:szCs w:val="21"/>
              </w:rPr>
            </w:pPr>
            <w:bookmarkStart w:id="13" w:name="联系人邮箱"/>
            <w:bookmarkEnd w:id="13"/>
            <w:r>
              <w:rPr>
                <w:rFonts w:hint="eastAsia" w:ascii="宋体" w:hAnsi="宋体" w:eastAsia="宋体" w:cs="宋体"/>
                <w:sz w:val="21"/>
                <w:szCs w:val="21"/>
              </w:rPr>
              <w:t>hzzz88581066@163.com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最高管理者或管理者代表</w:t>
            </w:r>
          </w:p>
        </w:tc>
        <w:tc>
          <w:tcPr>
            <w:tcW w:w="3837" w:type="dxa"/>
            <w:gridSpan w:val="4"/>
            <w:vAlign w:val="center"/>
          </w:tcPr>
          <w:p>
            <w:pPr>
              <w:rPr>
                <w:rFonts w:hint="eastAsia" w:ascii="宋体" w:hAnsi="宋体" w:eastAsia="宋体" w:cs="宋体"/>
                <w:sz w:val="21"/>
                <w:szCs w:val="21"/>
              </w:rPr>
            </w:pPr>
            <w:bookmarkStart w:id="14" w:name="管理者代表"/>
            <w:r>
              <w:rPr>
                <w:rFonts w:hint="eastAsia" w:ascii="宋体" w:hAnsi="宋体" w:eastAsia="宋体" w:cs="宋体"/>
                <w:sz w:val="21"/>
                <w:szCs w:val="21"/>
              </w:rPr>
              <w:t>高飞</w:t>
            </w:r>
            <w:bookmarkEnd w:id="14"/>
          </w:p>
        </w:tc>
        <w:tc>
          <w:tcPr>
            <w:tcW w:w="1071" w:type="dxa"/>
            <w:gridSpan w:val="4"/>
            <w:vAlign w:val="center"/>
          </w:tcPr>
          <w:p>
            <w:pPr>
              <w:rPr>
                <w:rFonts w:hint="eastAsia" w:ascii="宋体" w:hAnsi="宋体" w:eastAsia="宋体" w:cs="宋体"/>
                <w:sz w:val="21"/>
                <w:szCs w:val="21"/>
              </w:rPr>
            </w:pPr>
            <w:r>
              <w:rPr>
                <w:rFonts w:hint="eastAsia" w:ascii="宋体" w:hAnsi="宋体" w:eastAsia="宋体" w:cs="宋体"/>
                <w:sz w:val="21"/>
                <w:szCs w:val="21"/>
              </w:rPr>
              <w:t>联系电话</w:t>
            </w:r>
          </w:p>
        </w:tc>
        <w:tc>
          <w:tcPr>
            <w:tcW w:w="1791" w:type="dxa"/>
            <w:gridSpan w:val="4"/>
            <w:vAlign w:val="center"/>
          </w:tcPr>
          <w:p>
            <w:pPr>
              <w:rPr>
                <w:rFonts w:hint="eastAsia" w:ascii="宋体" w:hAnsi="宋体" w:eastAsia="宋体" w:cs="宋体"/>
                <w:sz w:val="21"/>
                <w:szCs w:val="21"/>
              </w:rPr>
            </w:pPr>
            <w:bookmarkStart w:id="15" w:name="管代电话"/>
            <w:bookmarkEnd w:id="15"/>
            <w:r>
              <w:rPr>
                <w:rFonts w:hint="eastAsia" w:ascii="宋体" w:hAnsi="宋体" w:eastAsia="宋体" w:cs="宋体"/>
                <w:sz w:val="21"/>
                <w:szCs w:val="21"/>
              </w:rPr>
              <w:t>0571-88581066</w:t>
            </w:r>
          </w:p>
        </w:tc>
        <w:tc>
          <w:tcPr>
            <w:tcW w:w="618" w:type="dxa"/>
            <w:vMerge w:val="continue"/>
            <w:vAlign w:val="center"/>
          </w:tcPr>
          <w:p>
            <w:pPr>
              <w:rPr>
                <w:rFonts w:hint="eastAsia" w:ascii="宋体" w:hAnsi="宋体" w:eastAsia="宋体" w:cs="宋体"/>
                <w:sz w:val="21"/>
                <w:szCs w:val="21"/>
              </w:rPr>
            </w:pPr>
          </w:p>
        </w:tc>
        <w:tc>
          <w:tcPr>
            <w:tcW w:w="1213" w:type="dxa"/>
            <w:gridSpan w:val="2"/>
            <w:vMerge w:val="continue"/>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审核目的</w:t>
            </w:r>
          </w:p>
        </w:tc>
        <w:tc>
          <w:tcPr>
            <w:tcW w:w="8530" w:type="dxa"/>
            <w:gridSpan w:val="15"/>
            <w:vAlign w:val="center"/>
          </w:tcPr>
          <w:p>
            <w:pPr>
              <w:textAlignment w:val="center"/>
              <w:rPr>
                <w:rFonts w:hint="eastAsia" w:ascii="宋体" w:hAnsi="宋体" w:eastAsia="宋体" w:cs="宋体"/>
                <w:b/>
                <w:sz w:val="21"/>
                <w:szCs w:val="21"/>
              </w:rPr>
            </w:pPr>
            <w:r>
              <w:rPr>
                <w:rFonts w:hint="eastAsia" w:ascii="宋体" w:hAnsi="宋体" w:eastAsia="宋体" w:cs="宋体"/>
                <w:b/>
                <w:sz w:val="21"/>
                <w:szCs w:val="21"/>
              </w:rPr>
              <w:t>1、了解组织的基本情况（现场分布、产品和生产工艺）。</w:t>
            </w:r>
          </w:p>
          <w:p>
            <w:pPr>
              <w:ind w:left="316" w:hanging="316" w:hangingChars="150"/>
              <w:textAlignment w:val="center"/>
              <w:rPr>
                <w:rFonts w:hint="eastAsia" w:ascii="宋体" w:hAnsi="宋体" w:eastAsia="宋体" w:cs="宋体"/>
                <w:b/>
                <w:sz w:val="21"/>
                <w:szCs w:val="21"/>
              </w:rPr>
            </w:pPr>
            <w:r>
              <w:rPr>
                <w:rFonts w:hint="eastAsia" w:ascii="宋体" w:hAnsi="宋体" w:eastAsia="宋体" w:cs="宋体"/>
                <w:b/>
                <w:sz w:val="21"/>
                <w:szCs w:val="21"/>
              </w:rPr>
              <w:t>2、了解组织建立的管理体系对认证审核的准备程度，确认是否具备第二阶段审核的条件，确定第二阶段审核的重点及资源配置。</w:t>
            </w:r>
          </w:p>
          <w:p>
            <w:pPr>
              <w:rPr>
                <w:rFonts w:hint="eastAsia" w:ascii="宋体" w:hAnsi="宋体" w:eastAsia="宋体" w:cs="宋体"/>
                <w:sz w:val="21"/>
                <w:szCs w:val="21"/>
              </w:rPr>
            </w:pPr>
            <w:r>
              <w:rPr>
                <w:rFonts w:hint="eastAsia" w:ascii="宋体" w:hAnsi="宋体" w:eastAsia="宋体" w:cs="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审核类型</w:t>
            </w:r>
          </w:p>
        </w:tc>
        <w:tc>
          <w:tcPr>
            <w:tcW w:w="8530" w:type="dxa"/>
            <w:gridSpan w:val="15"/>
            <w:vAlign w:val="center"/>
          </w:tcPr>
          <w:p>
            <w:pPr>
              <w:rPr>
                <w:rFonts w:hint="eastAsia" w:ascii="宋体" w:hAnsi="宋体" w:eastAsia="宋体" w:cs="宋体"/>
                <w:b/>
                <w:sz w:val="21"/>
                <w:szCs w:val="21"/>
              </w:rPr>
            </w:pPr>
            <w:bookmarkStart w:id="16" w:name="审核类型"/>
            <w:r>
              <w:rPr>
                <w:rFonts w:hint="eastAsia" w:ascii="宋体" w:hAnsi="宋体" w:eastAsia="宋体" w:cs="宋体"/>
                <w:b/>
                <w:sz w:val="21"/>
                <w:szCs w:val="21"/>
              </w:rPr>
              <w:t>一阶段现场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pPr>
              <w:rPr>
                <w:rFonts w:hint="eastAsia" w:ascii="宋体" w:hAnsi="宋体" w:eastAsia="宋体" w:cs="宋体"/>
                <w:sz w:val="21"/>
                <w:szCs w:val="21"/>
              </w:rPr>
            </w:pPr>
            <w:r>
              <w:rPr>
                <w:rFonts w:hint="eastAsia" w:ascii="宋体" w:hAnsi="宋体" w:eastAsia="宋体" w:cs="宋体"/>
                <w:color w:val="000000"/>
                <w:kern w:val="0"/>
                <w:sz w:val="21"/>
                <w:szCs w:val="21"/>
              </w:rPr>
              <w:t>审核方法</w:t>
            </w:r>
          </w:p>
        </w:tc>
        <w:tc>
          <w:tcPr>
            <w:tcW w:w="8530" w:type="dxa"/>
            <w:gridSpan w:val="15"/>
            <w:vAlign w:val="bottom"/>
          </w:tcPr>
          <w:p>
            <w:pPr>
              <w:widowControl/>
              <w:jc w:val="left"/>
              <w:rPr>
                <w:rFonts w:hint="eastAsia" w:ascii="宋体" w:hAnsi="宋体" w:eastAsia="宋体" w:cs="宋体"/>
                <w:b/>
                <w:sz w:val="21"/>
                <w:szCs w:val="21"/>
              </w:rPr>
            </w:pPr>
            <w:bookmarkStart w:id="17" w:name="现场审核勾选"/>
            <w:r>
              <w:rPr>
                <w:rFonts w:hint="eastAsia" w:ascii="宋体" w:hAnsi="宋体" w:eastAsia="宋体" w:cs="宋体"/>
                <w:color w:val="000000"/>
                <w:kern w:val="0"/>
                <w:sz w:val="21"/>
                <w:szCs w:val="21"/>
              </w:rPr>
              <w:t>■</w:t>
            </w:r>
            <w:bookmarkEnd w:id="17"/>
            <w:r>
              <w:rPr>
                <w:rFonts w:hint="eastAsia" w:ascii="宋体" w:hAnsi="宋体" w:eastAsia="宋体" w:cs="宋体"/>
                <w:color w:val="000000"/>
                <w:kern w:val="0"/>
                <w:sz w:val="21"/>
                <w:szCs w:val="21"/>
              </w:rPr>
              <w:t xml:space="preserve">现场审核   </w:t>
            </w:r>
            <w:bookmarkStart w:id="18" w:name="远程审核勾选"/>
            <w:r>
              <w:rPr>
                <w:rFonts w:hint="eastAsia" w:ascii="宋体" w:hAnsi="宋体" w:eastAsia="宋体" w:cs="宋体"/>
                <w:color w:val="000000"/>
                <w:kern w:val="0"/>
                <w:sz w:val="21"/>
                <w:szCs w:val="21"/>
              </w:rPr>
              <w:t>□</w:t>
            </w:r>
            <w:bookmarkEnd w:id="18"/>
            <w:r>
              <w:rPr>
                <w:rFonts w:hint="eastAsia" w:ascii="宋体" w:hAnsi="宋体" w:eastAsia="宋体" w:cs="宋体"/>
                <w:color w:val="000000"/>
                <w:kern w:val="0"/>
                <w:sz w:val="21"/>
                <w:szCs w:val="21"/>
              </w:rPr>
              <w:t xml:space="preserve">远程审核   </w:t>
            </w:r>
            <w:bookmarkStart w:id="19" w:name="现场与远程审核勾选"/>
            <w:r>
              <w:rPr>
                <w:rFonts w:hint="eastAsia" w:ascii="宋体" w:hAnsi="宋体" w:eastAsia="宋体" w:cs="宋体"/>
                <w:color w:val="000000"/>
                <w:kern w:val="0"/>
                <w:sz w:val="21"/>
                <w:szCs w:val="21"/>
              </w:rPr>
              <w:t>□</w:t>
            </w:r>
            <w:bookmarkEnd w:id="19"/>
            <w:r>
              <w:rPr>
                <w:rFonts w:hint="eastAsia" w:ascii="宋体" w:hAnsi="宋体" w:eastAsia="宋体" w:cs="宋体"/>
                <w:color w:val="000000"/>
                <w:kern w:val="0"/>
                <w:sz w:val="21"/>
                <w:szCs w:val="21"/>
              </w:rPr>
              <w:t>现场结合远程审核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rFonts w:hint="eastAsia" w:ascii="宋体" w:hAnsi="宋体" w:eastAsia="宋体" w:cs="宋体"/>
                <w:color w:val="0000FF"/>
                <w:sz w:val="21"/>
                <w:szCs w:val="21"/>
              </w:rPr>
            </w:pPr>
            <w:r>
              <w:rPr>
                <w:rFonts w:hint="eastAsia" w:ascii="宋体" w:hAnsi="宋体" w:eastAsia="宋体" w:cs="宋体"/>
                <w:color w:val="0000FF"/>
                <w:kern w:val="0"/>
                <w:sz w:val="21"/>
                <w:szCs w:val="21"/>
              </w:rPr>
              <w:t>远程审核方式</w:t>
            </w:r>
          </w:p>
        </w:tc>
        <w:tc>
          <w:tcPr>
            <w:tcW w:w="8530" w:type="dxa"/>
            <w:gridSpan w:val="15"/>
            <w:vAlign w:val="bottom"/>
          </w:tcPr>
          <w:p>
            <w:pPr>
              <w:widowControl/>
              <w:jc w:val="left"/>
              <w:rPr>
                <w:rFonts w:hint="eastAsia" w:ascii="宋体" w:hAnsi="宋体" w:eastAsia="宋体" w:cs="宋体"/>
                <w:b/>
                <w:color w:val="0000FF"/>
                <w:sz w:val="21"/>
                <w:szCs w:val="21"/>
                <w:lang w:val="en-US" w:eastAsia="zh-CN"/>
              </w:rPr>
            </w:pPr>
            <w:r>
              <w:rPr>
                <w:rFonts w:hint="eastAsia" w:ascii="宋体" w:hAnsi="宋体" w:eastAsia="宋体" w:cs="宋体"/>
                <w:color w:val="0000FF"/>
                <w:kern w:val="0"/>
                <w:sz w:val="21"/>
                <w:szCs w:val="21"/>
              </w:rPr>
              <w:t>□</w:t>
            </w:r>
            <w:r>
              <w:rPr>
                <w:rFonts w:hint="eastAsia" w:ascii="宋体" w:hAnsi="宋体" w:eastAsia="宋体" w:cs="宋体"/>
                <w:color w:val="0000FF"/>
                <w:sz w:val="21"/>
                <w:szCs w:val="21"/>
              </w:rPr>
              <w:t>音频</w:t>
            </w:r>
            <w:r>
              <w:rPr>
                <w:rFonts w:hint="eastAsia" w:ascii="宋体" w:hAnsi="宋体" w:eastAsia="宋体" w:cs="宋体"/>
                <w:color w:val="0000FF"/>
                <w:kern w:val="0"/>
                <w:sz w:val="21"/>
                <w:szCs w:val="21"/>
              </w:rPr>
              <w:t>□</w:t>
            </w:r>
            <w:r>
              <w:rPr>
                <w:rFonts w:hint="eastAsia" w:ascii="宋体" w:hAnsi="宋体" w:eastAsia="宋体" w:cs="宋体"/>
                <w:color w:val="0000FF"/>
                <w:sz w:val="21"/>
                <w:szCs w:val="21"/>
              </w:rPr>
              <w:t>视频</w:t>
            </w:r>
            <w:r>
              <w:rPr>
                <w:rFonts w:hint="eastAsia" w:ascii="宋体" w:hAnsi="宋体" w:eastAsia="宋体" w:cs="宋体"/>
                <w:color w:val="0000FF"/>
                <w:kern w:val="0"/>
                <w:sz w:val="21"/>
                <w:szCs w:val="21"/>
              </w:rPr>
              <w:t>□</w:t>
            </w:r>
            <w:r>
              <w:rPr>
                <w:rFonts w:hint="eastAsia" w:ascii="宋体" w:hAnsi="宋体" w:eastAsia="宋体" w:cs="宋体"/>
                <w:color w:val="0000FF"/>
                <w:sz w:val="21"/>
                <w:szCs w:val="21"/>
              </w:rPr>
              <w:t>数据共享</w:t>
            </w:r>
            <w:r>
              <w:rPr>
                <w:rFonts w:hint="eastAsia" w:ascii="宋体" w:hAnsi="宋体" w:eastAsia="宋体" w:cs="宋体"/>
                <w:color w:val="0000FF"/>
                <w:kern w:val="0"/>
                <w:sz w:val="21"/>
                <w:szCs w:val="21"/>
              </w:rPr>
              <w:t>□</w:t>
            </w:r>
            <w:r>
              <w:rPr>
                <w:rFonts w:hint="eastAsia" w:ascii="宋体" w:hAnsi="宋体" w:eastAsia="宋体" w:cs="宋体"/>
                <w:color w:val="0000FF"/>
                <w:sz w:val="21"/>
                <w:szCs w:val="21"/>
              </w:rPr>
              <w:t>远程接入</w:t>
            </w:r>
            <w:r>
              <w:rPr>
                <w:rFonts w:hint="eastAsia" w:ascii="宋体" w:hAnsi="宋体" w:eastAsia="宋体" w:cs="宋体"/>
                <w:color w:val="0000FF"/>
                <w:sz w:val="21"/>
                <w:szCs w:val="21"/>
                <w:lang w:val="en-US" w:eastAsia="zh-CN"/>
              </w:rPr>
              <w:t xml:space="preserve">   </w:t>
            </w:r>
            <w:r>
              <w:rPr>
                <w:rFonts w:hint="eastAsia" w:ascii="宋体" w:hAnsi="宋体" w:eastAsia="宋体" w:cs="宋体"/>
                <w:color w:val="0000FF"/>
                <w:kern w:val="0"/>
                <w:sz w:val="21"/>
                <w:szCs w:val="21"/>
              </w:rPr>
              <w:sym w:font="Wingdings 2" w:char="0052"/>
            </w:r>
            <w:r>
              <w:rPr>
                <w:rFonts w:hint="eastAsia" w:ascii="宋体" w:hAnsi="宋体" w:eastAsia="宋体" w:cs="宋体"/>
                <w:color w:val="0000FF"/>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gridSpan w:val="3"/>
          </w:tcPr>
          <w:p>
            <w:pPr>
              <w:rPr>
                <w:rFonts w:hint="eastAsia" w:ascii="宋体" w:hAnsi="宋体" w:eastAsia="宋体" w:cs="宋体"/>
                <w:color w:val="0000FF"/>
                <w:sz w:val="21"/>
                <w:szCs w:val="21"/>
              </w:rPr>
            </w:pPr>
            <w:r>
              <w:rPr>
                <w:rFonts w:hint="eastAsia" w:ascii="宋体" w:hAnsi="宋体" w:eastAsia="宋体" w:cs="宋体"/>
                <w:color w:val="0000FF"/>
                <w:kern w:val="0"/>
                <w:sz w:val="21"/>
                <w:szCs w:val="21"/>
              </w:rPr>
              <w:t>远程审核资源</w:t>
            </w:r>
          </w:p>
        </w:tc>
        <w:tc>
          <w:tcPr>
            <w:tcW w:w="8530" w:type="dxa"/>
            <w:gridSpan w:val="15"/>
            <w:vAlign w:val="bottom"/>
          </w:tcPr>
          <w:p>
            <w:pPr>
              <w:widowControl/>
              <w:jc w:val="left"/>
              <w:rPr>
                <w:rFonts w:hint="eastAsia" w:ascii="宋体" w:hAnsi="宋体" w:eastAsia="宋体" w:cs="宋体"/>
                <w:b/>
                <w:color w:val="0000FF"/>
                <w:sz w:val="21"/>
                <w:szCs w:val="21"/>
                <w:lang w:val="en-US" w:eastAsia="zh-CN"/>
              </w:rPr>
            </w:pPr>
            <w:r>
              <w:rPr>
                <w:rFonts w:hint="eastAsia" w:ascii="宋体" w:hAnsi="宋体" w:eastAsia="宋体" w:cs="宋体"/>
                <w:color w:val="0000FF"/>
                <w:kern w:val="0"/>
                <w:sz w:val="21"/>
                <w:szCs w:val="21"/>
              </w:rPr>
              <w:t>□网络□智能手机□台式电脑□笔记本电脑□录像机□照相机□可穿戴设备</w:t>
            </w:r>
            <w:r>
              <w:rPr>
                <w:rFonts w:hint="eastAsia" w:ascii="宋体" w:hAnsi="宋体" w:eastAsia="宋体" w:cs="宋体"/>
                <w:color w:val="0000FF"/>
                <w:kern w:val="0"/>
                <w:sz w:val="21"/>
                <w:szCs w:val="21"/>
                <w:lang w:val="en-US" w:eastAsia="zh-CN"/>
              </w:rPr>
              <w:t xml:space="preserve"> </w:t>
            </w:r>
            <w:r>
              <w:rPr>
                <w:rFonts w:hint="eastAsia" w:ascii="宋体" w:hAnsi="宋体" w:eastAsia="宋体" w:cs="宋体"/>
                <w:color w:val="0000FF"/>
                <w:sz w:val="21"/>
                <w:szCs w:val="21"/>
                <w:lang w:val="en-US" w:eastAsia="zh-CN"/>
              </w:rPr>
              <w:t xml:space="preserve"> </w:t>
            </w:r>
            <w:r>
              <w:rPr>
                <w:rFonts w:hint="eastAsia" w:ascii="宋体" w:hAnsi="宋体" w:eastAsia="宋体" w:cs="宋体"/>
                <w:color w:val="0000FF"/>
                <w:kern w:val="0"/>
                <w:sz w:val="21"/>
                <w:szCs w:val="21"/>
              </w:rPr>
              <w:sym w:font="Wingdings 2" w:char="0052"/>
            </w:r>
            <w:r>
              <w:rPr>
                <w:rFonts w:hint="eastAsia" w:ascii="宋体" w:hAnsi="宋体" w:eastAsia="宋体" w:cs="宋体"/>
                <w:color w:val="0000FF"/>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shd w:val="clear" w:color="auto" w:fill="EEECE1" w:themeFill="background2"/>
            <w:vAlign w:val="center"/>
          </w:tcPr>
          <w:p>
            <w:pPr>
              <w:rPr>
                <w:rFonts w:hint="eastAsia" w:ascii="宋体" w:hAnsi="宋体" w:eastAsia="宋体" w:cs="宋体"/>
                <w:sz w:val="21"/>
                <w:szCs w:val="21"/>
              </w:rPr>
            </w:pPr>
            <w:r>
              <w:rPr>
                <w:rFonts w:hint="eastAsia" w:ascii="宋体" w:hAnsi="宋体" w:eastAsia="宋体" w:cs="宋体"/>
                <w:sz w:val="21"/>
                <w:szCs w:val="21"/>
              </w:rPr>
              <w:t>审核范围</w:t>
            </w:r>
          </w:p>
        </w:tc>
        <w:tc>
          <w:tcPr>
            <w:tcW w:w="5498" w:type="dxa"/>
            <w:gridSpan w:val="10"/>
            <w:shd w:val="clear" w:color="auto" w:fill="EEECE1" w:themeFill="background2"/>
            <w:vAlign w:val="center"/>
          </w:tcPr>
          <w:p>
            <w:pPr>
              <w:rPr>
                <w:rFonts w:hint="eastAsia" w:ascii="宋体" w:hAnsi="宋体" w:eastAsia="宋体" w:cs="宋体"/>
                <w:sz w:val="21"/>
                <w:szCs w:val="21"/>
              </w:rPr>
            </w:pPr>
            <w:bookmarkStart w:id="20" w:name="审核范围"/>
            <w:r>
              <w:rPr>
                <w:rFonts w:hint="eastAsia" w:ascii="宋体" w:hAnsi="宋体" w:eastAsia="宋体" w:cs="宋体"/>
                <w:sz w:val="21"/>
                <w:szCs w:val="21"/>
              </w:rPr>
              <w:t>位于浙江省杭州市余杭区仁和街道双陈村的杭州泽庄农副产品有限公司的预包装食品（含冷藏食品）销售</w:t>
            </w:r>
            <w:bookmarkEnd w:id="20"/>
          </w:p>
        </w:tc>
        <w:tc>
          <w:tcPr>
            <w:tcW w:w="1201" w:type="dxa"/>
            <w:gridSpan w:val="2"/>
            <w:shd w:val="clear" w:color="auto" w:fill="EEECE1" w:themeFill="background2"/>
            <w:vAlign w:val="center"/>
          </w:tcPr>
          <w:p>
            <w:pPr>
              <w:rPr>
                <w:rFonts w:hint="eastAsia" w:ascii="宋体" w:hAnsi="宋体" w:eastAsia="宋体" w:cs="宋体"/>
                <w:sz w:val="21"/>
                <w:szCs w:val="21"/>
              </w:rPr>
            </w:pPr>
            <w:r>
              <w:rPr>
                <w:rFonts w:hint="eastAsia" w:ascii="宋体" w:hAnsi="宋体" w:eastAsia="宋体" w:cs="宋体"/>
                <w:sz w:val="21"/>
                <w:szCs w:val="21"/>
              </w:rPr>
              <w:t>项目专业代码</w:t>
            </w:r>
          </w:p>
        </w:tc>
        <w:tc>
          <w:tcPr>
            <w:tcW w:w="1831" w:type="dxa"/>
            <w:gridSpan w:val="3"/>
            <w:shd w:val="clear" w:color="auto" w:fill="EEECE1" w:themeFill="background2"/>
            <w:vAlign w:val="center"/>
          </w:tcPr>
          <w:p>
            <w:pPr>
              <w:rPr>
                <w:rFonts w:hint="eastAsia" w:ascii="宋体" w:hAnsi="宋体" w:eastAsia="宋体" w:cs="宋体"/>
                <w:sz w:val="21"/>
                <w:szCs w:val="21"/>
              </w:rPr>
            </w:pPr>
            <w:bookmarkStart w:id="21" w:name="专业代码"/>
            <w:r>
              <w:rPr>
                <w:rFonts w:hint="eastAsia" w:ascii="宋体" w:hAnsi="宋体" w:eastAsia="宋体" w:cs="宋体"/>
                <w:sz w:val="21"/>
                <w:szCs w:val="21"/>
              </w:rPr>
              <w:t>FI-2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审核准则</w:t>
            </w:r>
          </w:p>
        </w:tc>
        <w:tc>
          <w:tcPr>
            <w:tcW w:w="8530" w:type="dxa"/>
            <w:gridSpan w:val="15"/>
            <w:vAlign w:val="center"/>
          </w:tcPr>
          <w:p>
            <w:pPr>
              <w:rPr>
                <w:rFonts w:hint="eastAsia" w:ascii="宋体" w:hAnsi="宋体" w:eastAsia="宋体" w:cs="宋体"/>
                <w:b/>
                <w:sz w:val="21"/>
                <w:szCs w:val="21"/>
              </w:rPr>
            </w:pPr>
            <w:bookmarkStart w:id="22" w:name="Q勾选Add1"/>
            <w:r>
              <w:rPr>
                <w:rFonts w:hint="eastAsia" w:ascii="宋体" w:hAnsi="宋体" w:eastAsia="宋体" w:cs="宋体"/>
                <w:b/>
                <w:sz w:val="21"/>
                <w:szCs w:val="21"/>
              </w:rPr>
              <w:t>□</w:t>
            </w:r>
            <w:bookmarkEnd w:id="22"/>
            <w:r>
              <w:rPr>
                <w:rFonts w:hint="eastAsia" w:ascii="宋体" w:hAnsi="宋体" w:eastAsia="宋体" w:cs="宋体"/>
                <w:b/>
                <w:sz w:val="21"/>
                <w:szCs w:val="21"/>
              </w:rPr>
              <w:t xml:space="preserve">GB/T19001-2016/ISO 9001:2015  </w:t>
            </w:r>
            <w:bookmarkStart w:id="23" w:name="QJ勾选Add1"/>
            <w:r>
              <w:rPr>
                <w:rFonts w:hint="eastAsia" w:ascii="宋体" w:hAnsi="宋体" w:eastAsia="宋体" w:cs="宋体"/>
                <w:b/>
                <w:sz w:val="21"/>
                <w:szCs w:val="21"/>
              </w:rPr>
              <w:t>□</w:t>
            </w:r>
            <w:bookmarkEnd w:id="23"/>
            <w:r>
              <w:rPr>
                <w:rFonts w:hint="eastAsia" w:ascii="宋体" w:hAnsi="宋体" w:eastAsia="宋体" w:cs="宋体"/>
                <w:b/>
                <w:sz w:val="21"/>
                <w:szCs w:val="21"/>
              </w:rPr>
              <w:t xml:space="preserve">GB/T 50430-2017    </w:t>
            </w:r>
          </w:p>
          <w:p>
            <w:pPr>
              <w:rPr>
                <w:rFonts w:hint="eastAsia" w:ascii="宋体" w:hAnsi="宋体" w:eastAsia="宋体" w:cs="宋体"/>
                <w:b/>
                <w:sz w:val="21"/>
                <w:szCs w:val="21"/>
              </w:rPr>
            </w:pPr>
            <w:bookmarkStart w:id="24" w:name="E勾选Add1"/>
            <w:r>
              <w:rPr>
                <w:rFonts w:hint="eastAsia" w:ascii="宋体" w:hAnsi="宋体" w:eastAsia="宋体" w:cs="宋体"/>
                <w:b/>
                <w:sz w:val="21"/>
                <w:szCs w:val="21"/>
              </w:rPr>
              <w:t>□</w:t>
            </w:r>
            <w:bookmarkEnd w:id="24"/>
            <w:r>
              <w:rPr>
                <w:rFonts w:hint="eastAsia" w:ascii="宋体" w:hAnsi="宋体" w:eastAsia="宋体" w:cs="宋体"/>
                <w:b/>
                <w:sz w:val="21"/>
                <w:szCs w:val="21"/>
              </w:rPr>
              <w:t xml:space="preserve">GB/T24001-2016/ISO 14001:2015 </w:t>
            </w:r>
            <w:bookmarkStart w:id="25" w:name="S勾选Add1"/>
            <w:r>
              <w:rPr>
                <w:rFonts w:hint="eastAsia" w:ascii="宋体" w:hAnsi="宋体" w:eastAsia="宋体" w:cs="宋体"/>
                <w:b/>
                <w:sz w:val="21"/>
                <w:szCs w:val="21"/>
              </w:rPr>
              <w:t>□</w:t>
            </w:r>
            <w:bookmarkEnd w:id="25"/>
            <w:r>
              <w:rPr>
                <w:rFonts w:hint="eastAsia" w:ascii="宋体" w:hAnsi="宋体" w:eastAsia="宋体" w:cs="宋体"/>
                <w:b/>
                <w:sz w:val="21"/>
                <w:szCs w:val="21"/>
              </w:rPr>
              <w:t>GB/T 45001-2020/ISO45001：2018</w:t>
            </w:r>
          </w:p>
          <w:p>
            <w:pPr>
              <w:rPr>
                <w:rFonts w:hint="eastAsia" w:ascii="宋体" w:hAnsi="宋体" w:eastAsia="宋体" w:cs="宋体"/>
                <w:b/>
                <w:sz w:val="21"/>
                <w:szCs w:val="21"/>
              </w:rPr>
            </w:pPr>
            <w:bookmarkStart w:id="26" w:name="EnMS勾选Add1"/>
            <w:r>
              <w:rPr>
                <w:rFonts w:hint="eastAsia" w:ascii="宋体" w:hAnsi="宋体" w:eastAsia="宋体" w:cs="宋体"/>
                <w:b/>
                <w:sz w:val="21"/>
                <w:szCs w:val="21"/>
              </w:rPr>
              <w:t>□</w:t>
            </w:r>
            <w:bookmarkEnd w:id="26"/>
            <w:r>
              <w:rPr>
                <w:rFonts w:hint="eastAsia" w:ascii="宋体" w:hAnsi="宋体" w:eastAsia="宋体" w:cs="宋体"/>
                <w:b/>
                <w:sz w:val="21"/>
                <w:szCs w:val="21"/>
              </w:rPr>
              <w:t>GB/T 23331-2020/ISO50001：2018标准□RB/T       （行业认证标准）</w:t>
            </w:r>
          </w:p>
          <w:p>
            <w:pPr>
              <w:rPr>
                <w:rFonts w:hint="eastAsia" w:ascii="宋体" w:hAnsi="宋体" w:eastAsia="宋体" w:cs="宋体"/>
                <w:b/>
                <w:sz w:val="21"/>
                <w:szCs w:val="21"/>
              </w:rPr>
            </w:pPr>
            <w:r>
              <w:rPr>
                <w:rFonts w:hint="eastAsia" w:ascii="宋体" w:hAnsi="宋体" w:eastAsia="宋体" w:cs="宋体"/>
                <w:b/>
                <w:sz w:val="21"/>
                <w:szCs w:val="21"/>
              </w:rPr>
              <w:t>FSMS：</w:t>
            </w:r>
            <w:bookmarkStart w:id="27" w:name="F勾选Add1"/>
            <w:r>
              <w:rPr>
                <w:rFonts w:hint="eastAsia" w:ascii="宋体" w:hAnsi="宋体" w:eastAsia="宋体" w:cs="宋体"/>
                <w:b/>
                <w:sz w:val="21"/>
                <w:szCs w:val="21"/>
              </w:rPr>
              <w:t>□</w:t>
            </w:r>
            <w:bookmarkEnd w:id="27"/>
            <w:r>
              <w:rPr>
                <w:rFonts w:hint="eastAsia" w:ascii="宋体" w:hAnsi="宋体" w:eastAsia="宋体" w:cs="宋体"/>
                <w:b/>
                <w:sz w:val="21"/>
                <w:szCs w:val="21"/>
              </w:rPr>
              <w:t xml:space="preserve">ISO22000：2018                 </w:t>
            </w:r>
          </w:p>
          <w:p>
            <w:pPr>
              <w:rPr>
                <w:rFonts w:hint="eastAsia" w:ascii="宋体" w:hAnsi="宋体" w:eastAsia="宋体" w:cs="宋体"/>
                <w:b/>
                <w:sz w:val="21"/>
                <w:szCs w:val="21"/>
              </w:rPr>
            </w:pPr>
            <w:r>
              <w:rPr>
                <w:rFonts w:hint="eastAsia" w:ascii="宋体" w:hAnsi="宋体" w:eastAsia="宋体" w:cs="宋体"/>
                <w:b/>
                <w:sz w:val="21"/>
                <w:szCs w:val="21"/>
              </w:rPr>
              <w:t>HACCP：</w:t>
            </w:r>
            <w:bookmarkStart w:id="28" w:name="H勾选Add1"/>
            <w:r>
              <w:rPr>
                <w:rFonts w:hint="eastAsia" w:ascii="宋体" w:hAnsi="宋体" w:eastAsia="宋体" w:cs="宋体"/>
                <w:b/>
                <w:sz w:val="21"/>
                <w:szCs w:val="21"/>
              </w:rPr>
              <w:t>■</w:t>
            </w:r>
            <w:bookmarkEnd w:id="28"/>
            <w:r>
              <w:rPr>
                <w:rFonts w:hint="eastAsia" w:ascii="宋体" w:hAnsi="宋体" w:eastAsia="宋体" w:cs="宋体"/>
                <w:b/>
                <w:sz w:val="21"/>
                <w:szCs w:val="21"/>
              </w:rPr>
              <w:t xml:space="preserve"> 《危害分析与关键控制点（HACCP体系）认证要求 </w:t>
            </w:r>
            <w:r>
              <w:rPr>
                <w:rFonts w:hint="eastAsia" w:ascii="宋体" w:hAnsi="宋体" w:eastAsia="宋体" w:cs="宋体"/>
                <w:b/>
                <w:sz w:val="21"/>
                <w:szCs w:val="21"/>
                <w:lang w:val="en-US" w:eastAsia="zh-CN"/>
              </w:rPr>
              <w:t>V</w:t>
            </w:r>
            <w:r>
              <w:rPr>
                <w:rFonts w:hint="eastAsia" w:ascii="宋体" w:hAnsi="宋体" w:eastAsia="宋体" w:cs="宋体"/>
                <w:b/>
                <w:sz w:val="21"/>
                <w:szCs w:val="21"/>
              </w:rPr>
              <w:t>1.0》</w:t>
            </w:r>
          </w:p>
          <w:p>
            <w:pPr>
              <w:rPr>
                <w:rFonts w:hint="eastAsia" w:ascii="宋体" w:hAnsi="宋体" w:eastAsia="宋体" w:cs="宋体"/>
                <w:b/>
                <w:sz w:val="21"/>
                <w:szCs w:val="21"/>
              </w:rPr>
            </w:pPr>
            <w:r>
              <w:rPr>
                <w:rFonts w:hint="eastAsia" w:ascii="宋体" w:hAnsi="宋体" w:eastAsia="宋体" w:cs="宋体"/>
                <w:b/>
                <w:sz w:val="21"/>
                <w:szCs w:val="21"/>
              </w:rPr>
              <w:sym w:font="Wingdings 2" w:char="0052"/>
            </w:r>
            <w:r>
              <w:rPr>
                <w:rFonts w:hint="eastAsia" w:ascii="宋体" w:hAnsi="宋体" w:eastAsia="宋体" w:cs="宋体"/>
                <w:b/>
                <w:sz w:val="21"/>
                <w:szCs w:val="21"/>
              </w:rPr>
              <w:t>适用于受审核方的法律法规及其他要求；</w:t>
            </w:r>
            <w:r>
              <w:rPr>
                <w:rFonts w:hint="eastAsia" w:ascii="宋体" w:hAnsi="宋体" w:eastAsia="宋体" w:cs="宋体"/>
                <w:b/>
                <w:sz w:val="21"/>
                <w:szCs w:val="21"/>
              </w:rPr>
              <w:sym w:font="Wingdings 2" w:char="0052"/>
            </w:r>
            <w:r>
              <w:rPr>
                <w:rFonts w:hint="eastAsia" w:ascii="宋体" w:hAnsi="宋体" w:eastAsia="宋体" w:cs="宋体"/>
                <w:b/>
                <w:sz w:val="21"/>
                <w:szCs w:val="21"/>
              </w:rPr>
              <w:t>认证合同</w:t>
            </w:r>
          </w:p>
          <w:p>
            <w:pPr>
              <w:rPr>
                <w:rFonts w:hint="eastAsia" w:ascii="宋体" w:hAnsi="宋体" w:eastAsia="宋体" w:cs="宋体"/>
                <w:b/>
                <w:sz w:val="21"/>
                <w:szCs w:val="21"/>
              </w:rPr>
            </w:pPr>
            <w:r>
              <w:rPr>
                <w:rFonts w:hint="eastAsia" w:ascii="宋体" w:hAnsi="宋体" w:eastAsia="宋体" w:cs="宋体"/>
                <w:b/>
                <w:sz w:val="21"/>
                <w:szCs w:val="21"/>
              </w:rPr>
              <w:sym w:font="Wingdings 2" w:char="0052"/>
            </w:r>
            <w:r>
              <w:rPr>
                <w:rFonts w:hint="eastAsia" w:ascii="宋体" w:hAnsi="宋体" w:eastAsia="宋体" w:cs="宋体"/>
                <w:b/>
                <w:sz w:val="21"/>
                <w:szCs w:val="21"/>
              </w:rPr>
              <w:t>受审核方管理体系文件 (手册版本号：</w:t>
            </w:r>
            <w:r>
              <w:rPr>
                <w:rFonts w:hint="eastAsia" w:ascii="宋体" w:hAnsi="宋体" w:eastAsia="宋体" w:cs="宋体"/>
                <w:b/>
                <w:sz w:val="21"/>
                <w:szCs w:val="21"/>
                <w:lang w:val="en-US" w:eastAsia="zh-CN"/>
              </w:rPr>
              <w:t>B/0</w:t>
            </w:r>
            <w:r>
              <w:rPr>
                <w:rFonts w:hint="eastAsia" w:ascii="宋体" w:hAnsi="宋体" w:eastAsia="宋体" w:cs="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96"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rFonts w:hint="eastAsia" w:ascii="宋体" w:hAnsi="宋体" w:eastAsia="宋体" w:cs="宋体"/>
                <w:b/>
                <w:sz w:val="21"/>
                <w:szCs w:val="21"/>
              </w:rPr>
            </w:pPr>
            <w:r>
              <w:rPr>
                <w:rFonts w:hint="eastAsia" w:ascii="宋体" w:hAnsi="宋体" w:eastAsia="宋体" w:cs="宋体"/>
                <w:b/>
                <w:sz w:val="21"/>
                <w:szCs w:val="21"/>
              </w:rPr>
              <w:t>现场审核于</w:t>
            </w:r>
            <w:bookmarkStart w:id="29" w:name="审核日期"/>
            <w:r>
              <w:rPr>
                <w:rFonts w:hint="eastAsia" w:ascii="宋体" w:hAnsi="宋体" w:eastAsia="宋体" w:cs="宋体"/>
                <w:b/>
                <w:sz w:val="21"/>
                <w:szCs w:val="21"/>
              </w:rPr>
              <w:t>2022年06月25日 上午</w:t>
            </w:r>
            <w:r>
              <w:rPr>
                <w:rFonts w:hint="eastAsia" w:ascii="宋体" w:hAnsi="宋体" w:eastAsia="宋体" w:cs="宋体"/>
                <w:b/>
                <w:sz w:val="21"/>
                <w:szCs w:val="21"/>
                <w:lang w:val="en-US" w:eastAsia="zh-CN"/>
              </w:rPr>
              <w:t>8:30</w:t>
            </w:r>
            <w:r>
              <w:rPr>
                <w:rFonts w:hint="eastAsia" w:ascii="宋体" w:hAnsi="宋体" w:eastAsia="宋体" w:cs="宋体"/>
                <w:b/>
                <w:sz w:val="21"/>
                <w:szCs w:val="21"/>
              </w:rPr>
              <w:t>至2022年06月25日 下午</w:t>
            </w:r>
            <w:bookmarkEnd w:id="29"/>
            <w:r>
              <w:rPr>
                <w:rFonts w:hint="eastAsia" w:ascii="宋体" w:hAnsi="宋体" w:eastAsia="宋体" w:cs="宋体"/>
                <w:b/>
                <w:sz w:val="21"/>
                <w:szCs w:val="21"/>
                <w:lang w:val="en-US" w:eastAsia="zh-CN"/>
              </w:rPr>
              <w:t>17:00</w:t>
            </w:r>
            <w:r>
              <w:rPr>
                <w:rFonts w:hint="eastAsia" w:ascii="宋体" w:hAnsi="宋体" w:eastAsia="宋体" w:cs="宋体"/>
                <w:b/>
                <w:sz w:val="21"/>
                <w:szCs w:val="21"/>
              </w:rPr>
              <w:t>，共</w:t>
            </w:r>
            <w:bookmarkStart w:id="30" w:name="审核天数"/>
            <w:r>
              <w:rPr>
                <w:rFonts w:hint="eastAsia" w:ascii="宋体" w:hAnsi="宋体" w:eastAsia="宋体" w:cs="宋体"/>
                <w:b/>
                <w:sz w:val="21"/>
                <w:szCs w:val="21"/>
              </w:rPr>
              <w:t>1.0</w:t>
            </w:r>
            <w:bookmarkEnd w:id="30"/>
            <w:r>
              <w:rPr>
                <w:rFonts w:hint="eastAsia" w:ascii="宋体" w:hAnsi="宋体" w:eastAsia="宋体" w:cs="宋体"/>
                <w:b/>
                <w:sz w:val="21"/>
                <w:szCs w:val="21"/>
              </w:rPr>
              <w:t>天。</w:t>
            </w:r>
          </w:p>
          <w:p>
            <w:pPr>
              <w:tabs>
                <w:tab w:val="center" w:pos="4153"/>
                <w:tab w:val="right" w:pos="8306"/>
              </w:tabs>
              <w:snapToGrid w:val="0"/>
              <w:spacing w:line="360" w:lineRule="auto"/>
              <w:ind w:left="-108" w:leftChars="-45" w:firstLine="211" w:firstLineChars="100"/>
              <w:rPr>
                <w:rFonts w:hint="eastAsia" w:ascii="宋体" w:hAnsi="宋体" w:eastAsia="宋体" w:cs="宋体"/>
                <w:b/>
                <w:sz w:val="21"/>
                <w:szCs w:val="21"/>
                <w:lang w:val="de-DE"/>
              </w:rPr>
            </w:pPr>
            <w:r>
              <w:rPr>
                <w:rFonts w:hint="eastAsia" w:ascii="宋体" w:hAnsi="宋体" w:eastAsia="宋体" w:cs="宋体"/>
                <w:b/>
                <w:sz w:val="21"/>
                <w:szCs w:val="21"/>
              </w:rPr>
              <w:t>远程审核于年月日至年月日，共天。</w:t>
            </w:r>
            <w:r>
              <w:rPr>
                <w:rFonts w:hint="eastAsia" w:ascii="宋体" w:hAnsi="宋体" w:eastAsia="宋体" w:cs="宋体"/>
                <w:color w:val="0000FF"/>
                <w:sz w:val="21"/>
                <w:szCs w:val="21"/>
                <w:lang w:val="en-US" w:eastAsia="zh-CN"/>
              </w:rPr>
              <w:t xml:space="preserve"> </w:t>
            </w:r>
            <w:r>
              <w:rPr>
                <w:rFonts w:hint="eastAsia" w:ascii="宋体" w:hAnsi="宋体" w:eastAsia="宋体" w:cs="宋体"/>
                <w:color w:val="0000FF"/>
                <w:kern w:val="0"/>
                <w:sz w:val="21"/>
                <w:szCs w:val="21"/>
              </w:rPr>
              <w:sym w:font="Wingdings 2" w:char="0052"/>
            </w:r>
            <w:r>
              <w:rPr>
                <w:rFonts w:hint="eastAsia" w:ascii="宋体" w:hAnsi="宋体" w:eastAsia="宋体" w:cs="宋体"/>
                <w:color w:val="0000FF"/>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审核语言</w:t>
            </w:r>
          </w:p>
        </w:tc>
        <w:tc>
          <w:tcPr>
            <w:tcW w:w="8530" w:type="dxa"/>
            <w:gridSpan w:val="15"/>
            <w:vAlign w:val="center"/>
          </w:tcPr>
          <w:p>
            <w:pPr>
              <w:tabs>
                <w:tab w:val="center" w:pos="4153"/>
                <w:tab w:val="right" w:pos="8306"/>
              </w:tabs>
              <w:snapToGrid w:val="0"/>
              <w:spacing w:line="360" w:lineRule="auto"/>
              <w:rPr>
                <w:rFonts w:hint="eastAsia" w:ascii="宋体" w:hAnsi="宋体" w:eastAsia="宋体" w:cs="宋体"/>
                <w:b/>
                <w:sz w:val="21"/>
                <w:szCs w:val="21"/>
              </w:rPr>
            </w:pPr>
            <w:r>
              <w:rPr>
                <w:rFonts w:hint="eastAsia" w:ascii="宋体" w:hAnsi="宋体" w:eastAsia="宋体" w:cs="宋体"/>
                <w:sz w:val="21"/>
                <w:szCs w:val="21"/>
                <w:lang w:val="de-DE"/>
              </w:rPr>
              <w:sym w:font="Wingdings 2" w:char="0052"/>
            </w:r>
            <w:r>
              <w:rPr>
                <w:rFonts w:hint="eastAsia" w:ascii="宋体" w:hAnsi="宋体" w:eastAsia="宋体" w:cs="宋体"/>
                <w:b/>
                <w:sz w:val="21"/>
                <w:szCs w:val="21"/>
              </w:rPr>
              <w:t>普通话</w:t>
            </w:r>
            <w:r>
              <w:rPr>
                <w:rFonts w:hint="eastAsia" w:ascii="宋体" w:hAnsi="宋体" w:eastAsia="宋体" w:cs="宋体"/>
                <w:sz w:val="21"/>
                <w:szCs w:val="21"/>
                <w:lang w:val="de-DE"/>
              </w:rPr>
              <w:t>□</w:t>
            </w:r>
            <w:r>
              <w:rPr>
                <w:rFonts w:hint="eastAsia" w:ascii="宋体" w:hAnsi="宋体" w:eastAsia="宋体" w:cs="宋体"/>
                <w:b/>
                <w:sz w:val="21"/>
                <w:szCs w:val="21"/>
              </w:rPr>
              <w:t>英语</w:t>
            </w:r>
            <w:r>
              <w:rPr>
                <w:rFonts w:hint="eastAsia" w:ascii="宋体" w:hAnsi="宋体" w:eastAsia="宋体" w:cs="宋体"/>
                <w:sz w:val="21"/>
                <w:szCs w:val="21"/>
                <w:lang w:val="de-DE"/>
              </w:rPr>
              <w:t>□</w:t>
            </w:r>
            <w:r>
              <w:rPr>
                <w:rFonts w:hint="eastAsia" w:ascii="宋体" w:hAnsi="宋体" w:eastAsia="宋体" w:cs="宋体"/>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组内身份</w:t>
            </w:r>
          </w:p>
        </w:tc>
        <w:tc>
          <w:tcPr>
            <w:tcW w:w="1152"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5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性别</w:t>
            </w:r>
          </w:p>
        </w:tc>
        <w:tc>
          <w:tcPr>
            <w:tcW w:w="2738"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注册证书号</w:t>
            </w:r>
          </w:p>
        </w:tc>
        <w:tc>
          <w:tcPr>
            <w:tcW w:w="1029" w:type="dxa"/>
            <w:gridSpan w:val="4"/>
            <w:vAlign w:val="center"/>
          </w:tcPr>
          <w:p>
            <w:pPr>
              <w:jc w:val="center"/>
              <w:rPr>
                <w:rFonts w:hint="eastAsia" w:ascii="宋体" w:hAnsi="宋体" w:eastAsia="宋体" w:cs="宋体"/>
                <w:sz w:val="21"/>
                <w:szCs w:val="21"/>
              </w:rPr>
            </w:pPr>
            <w:r>
              <w:rPr>
                <w:rFonts w:hint="eastAsia" w:ascii="宋体" w:hAnsi="宋体" w:eastAsia="宋体" w:cs="宋体"/>
                <w:sz w:val="21"/>
                <w:szCs w:val="21"/>
              </w:rPr>
              <w:t>审核方式</w:t>
            </w:r>
          </w:p>
        </w:tc>
        <w:tc>
          <w:tcPr>
            <w:tcW w:w="868"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专业代码</w:t>
            </w:r>
          </w:p>
        </w:tc>
        <w:tc>
          <w:tcPr>
            <w:tcW w:w="1393"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08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组长</w:t>
            </w:r>
          </w:p>
        </w:tc>
        <w:tc>
          <w:tcPr>
            <w:tcW w:w="1152"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肖新龙</w:t>
            </w:r>
          </w:p>
        </w:tc>
        <w:tc>
          <w:tcPr>
            <w:tcW w:w="5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c>
          <w:tcPr>
            <w:tcW w:w="2738"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2020-N1HACCP-1232380</w:t>
            </w:r>
          </w:p>
        </w:tc>
        <w:tc>
          <w:tcPr>
            <w:tcW w:w="1029" w:type="dxa"/>
            <w:gridSpan w:val="4"/>
            <w:vAlign w:val="center"/>
          </w:tcPr>
          <w:p>
            <w:pPr>
              <w:jc w:val="center"/>
              <w:rPr>
                <w:rFonts w:hint="eastAsia" w:ascii="宋体" w:hAnsi="宋体" w:eastAsia="宋体" w:cs="宋体"/>
                <w:sz w:val="21"/>
                <w:szCs w:val="21"/>
              </w:rPr>
            </w:pPr>
            <w:r>
              <w:rPr>
                <w:rFonts w:hint="eastAsia" w:ascii="宋体" w:hAnsi="宋体" w:eastAsia="宋体" w:cs="宋体"/>
                <w:sz w:val="21"/>
                <w:szCs w:val="21"/>
              </w:rPr>
              <w:t>现场审核</w:t>
            </w:r>
          </w:p>
        </w:tc>
        <w:tc>
          <w:tcPr>
            <w:tcW w:w="868"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FI-2</w:t>
            </w:r>
          </w:p>
        </w:tc>
        <w:tc>
          <w:tcPr>
            <w:tcW w:w="1393"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17706316076</w:t>
            </w:r>
          </w:p>
        </w:tc>
        <w:tc>
          <w:tcPr>
            <w:tcW w:w="1084"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395" w:type="dxa"/>
            <w:gridSpan w:val="2"/>
            <w:vAlign w:val="center"/>
          </w:tcPr>
          <w:p>
            <w:pPr>
              <w:rPr>
                <w:rFonts w:hint="eastAsia" w:ascii="宋体" w:hAnsi="宋体" w:eastAsia="宋体" w:cs="宋体"/>
                <w:sz w:val="21"/>
                <w:szCs w:val="21"/>
              </w:rPr>
            </w:pPr>
          </w:p>
        </w:tc>
        <w:tc>
          <w:tcPr>
            <w:tcW w:w="1152" w:type="dxa"/>
            <w:gridSpan w:val="2"/>
            <w:vAlign w:val="center"/>
          </w:tcPr>
          <w:p>
            <w:pPr>
              <w:rPr>
                <w:rFonts w:hint="eastAsia" w:ascii="宋体" w:hAnsi="宋体" w:eastAsia="宋体" w:cs="宋体"/>
                <w:sz w:val="21"/>
                <w:szCs w:val="21"/>
              </w:rPr>
            </w:pPr>
          </w:p>
        </w:tc>
        <w:tc>
          <w:tcPr>
            <w:tcW w:w="567" w:type="dxa"/>
            <w:vAlign w:val="center"/>
          </w:tcPr>
          <w:p>
            <w:pPr>
              <w:rPr>
                <w:rFonts w:hint="eastAsia" w:ascii="宋体" w:hAnsi="宋体" w:eastAsia="宋体" w:cs="宋体"/>
                <w:sz w:val="21"/>
                <w:szCs w:val="21"/>
              </w:rPr>
            </w:pPr>
          </w:p>
        </w:tc>
        <w:tc>
          <w:tcPr>
            <w:tcW w:w="2738" w:type="dxa"/>
            <w:gridSpan w:val="3"/>
            <w:vAlign w:val="center"/>
          </w:tcPr>
          <w:p>
            <w:pPr>
              <w:rPr>
                <w:rFonts w:hint="eastAsia" w:ascii="宋体" w:hAnsi="宋体" w:eastAsia="宋体" w:cs="宋体"/>
                <w:sz w:val="21"/>
                <w:szCs w:val="21"/>
              </w:rPr>
            </w:pPr>
          </w:p>
        </w:tc>
        <w:tc>
          <w:tcPr>
            <w:tcW w:w="1029" w:type="dxa"/>
            <w:gridSpan w:val="4"/>
            <w:vAlign w:val="center"/>
          </w:tcPr>
          <w:p>
            <w:pPr>
              <w:rPr>
                <w:rFonts w:hint="eastAsia" w:ascii="宋体" w:hAnsi="宋体" w:eastAsia="宋体" w:cs="宋体"/>
                <w:sz w:val="21"/>
                <w:szCs w:val="21"/>
              </w:rPr>
            </w:pPr>
          </w:p>
        </w:tc>
        <w:tc>
          <w:tcPr>
            <w:tcW w:w="868" w:type="dxa"/>
            <w:gridSpan w:val="2"/>
            <w:vAlign w:val="center"/>
          </w:tcPr>
          <w:p>
            <w:pPr>
              <w:rPr>
                <w:rFonts w:hint="eastAsia" w:ascii="宋体" w:hAnsi="宋体" w:eastAsia="宋体" w:cs="宋体"/>
                <w:sz w:val="21"/>
                <w:szCs w:val="21"/>
              </w:rPr>
            </w:pPr>
          </w:p>
        </w:tc>
        <w:tc>
          <w:tcPr>
            <w:tcW w:w="1393" w:type="dxa"/>
            <w:gridSpan w:val="3"/>
            <w:vAlign w:val="center"/>
          </w:tcPr>
          <w:p>
            <w:pPr>
              <w:rPr>
                <w:rFonts w:hint="eastAsia" w:ascii="宋体" w:hAnsi="宋体" w:eastAsia="宋体" w:cs="宋体"/>
                <w:sz w:val="21"/>
                <w:szCs w:val="21"/>
              </w:rPr>
            </w:pPr>
          </w:p>
        </w:tc>
        <w:tc>
          <w:tcPr>
            <w:tcW w:w="1084"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组内身份</w:t>
            </w:r>
          </w:p>
        </w:tc>
        <w:tc>
          <w:tcPr>
            <w:tcW w:w="1152"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姓名</w:t>
            </w:r>
          </w:p>
        </w:tc>
        <w:tc>
          <w:tcPr>
            <w:tcW w:w="567" w:type="dxa"/>
            <w:vAlign w:val="center"/>
          </w:tcPr>
          <w:p>
            <w:pPr>
              <w:rPr>
                <w:rFonts w:hint="eastAsia" w:ascii="宋体" w:hAnsi="宋体" w:eastAsia="宋体" w:cs="宋体"/>
                <w:sz w:val="21"/>
                <w:szCs w:val="21"/>
              </w:rPr>
            </w:pPr>
            <w:r>
              <w:rPr>
                <w:rFonts w:hint="eastAsia" w:ascii="宋体" w:hAnsi="宋体" w:eastAsia="宋体" w:cs="宋体"/>
                <w:sz w:val="21"/>
                <w:szCs w:val="21"/>
              </w:rPr>
              <w:t>性别</w:t>
            </w:r>
          </w:p>
        </w:tc>
        <w:tc>
          <w:tcPr>
            <w:tcW w:w="2835" w:type="dxa"/>
            <w:gridSpan w:val="4"/>
            <w:vAlign w:val="center"/>
          </w:tcPr>
          <w:p>
            <w:pPr>
              <w:rPr>
                <w:rFonts w:hint="eastAsia" w:ascii="宋体" w:hAnsi="宋体" w:eastAsia="宋体" w:cs="宋体"/>
                <w:sz w:val="21"/>
                <w:szCs w:val="21"/>
              </w:rPr>
            </w:pPr>
            <w:r>
              <w:rPr>
                <w:rFonts w:hint="eastAsia" w:ascii="宋体" w:hAnsi="宋体" w:eastAsia="宋体" w:cs="宋体"/>
                <w:sz w:val="21"/>
                <w:szCs w:val="21"/>
              </w:rPr>
              <w:t>现工作单位名称</w:t>
            </w:r>
          </w:p>
        </w:tc>
        <w:tc>
          <w:tcPr>
            <w:tcW w:w="932"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职务或职称</w:t>
            </w:r>
          </w:p>
        </w:tc>
        <w:tc>
          <w:tcPr>
            <w:tcW w:w="868"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专业代码</w:t>
            </w:r>
          </w:p>
        </w:tc>
        <w:tc>
          <w:tcPr>
            <w:tcW w:w="1393"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组内代码</w:t>
            </w:r>
          </w:p>
        </w:tc>
        <w:tc>
          <w:tcPr>
            <w:tcW w:w="1084" w:type="dxa"/>
            <w:vAlign w:val="center"/>
          </w:tcPr>
          <w:p>
            <w:pPr>
              <w:rPr>
                <w:rFonts w:hint="eastAsia" w:ascii="宋体" w:hAnsi="宋体" w:eastAsia="宋体" w:cs="宋体"/>
                <w:sz w:val="21"/>
                <w:szCs w:val="21"/>
              </w:rPr>
            </w:pPr>
            <w:r>
              <w:rPr>
                <w:rFonts w:hint="eastAsia" w:ascii="宋体" w:hAnsi="宋体" w:eastAsia="宋体" w:cs="宋体"/>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152" w:type="dxa"/>
            <w:gridSpan w:val="2"/>
            <w:vAlign w:val="center"/>
          </w:tcPr>
          <w:p>
            <w:pPr>
              <w:rPr>
                <w:rFonts w:hint="eastAsia" w:ascii="宋体" w:hAnsi="宋体" w:eastAsia="宋体" w:cs="宋体"/>
                <w:sz w:val="21"/>
                <w:szCs w:val="21"/>
              </w:rPr>
            </w:pPr>
          </w:p>
        </w:tc>
        <w:tc>
          <w:tcPr>
            <w:tcW w:w="567" w:type="dxa"/>
            <w:vAlign w:val="center"/>
          </w:tcPr>
          <w:p>
            <w:pPr>
              <w:rPr>
                <w:rFonts w:hint="eastAsia" w:ascii="宋体" w:hAnsi="宋体" w:eastAsia="宋体" w:cs="宋体"/>
                <w:sz w:val="21"/>
                <w:szCs w:val="21"/>
              </w:rPr>
            </w:pPr>
          </w:p>
        </w:tc>
        <w:tc>
          <w:tcPr>
            <w:tcW w:w="2835" w:type="dxa"/>
            <w:gridSpan w:val="4"/>
            <w:vAlign w:val="center"/>
          </w:tcPr>
          <w:p>
            <w:pPr>
              <w:rPr>
                <w:rFonts w:hint="eastAsia" w:ascii="宋体" w:hAnsi="宋体" w:eastAsia="宋体" w:cs="宋体"/>
                <w:sz w:val="21"/>
                <w:szCs w:val="21"/>
              </w:rPr>
            </w:pPr>
          </w:p>
        </w:tc>
        <w:tc>
          <w:tcPr>
            <w:tcW w:w="932" w:type="dxa"/>
            <w:gridSpan w:val="3"/>
            <w:vAlign w:val="center"/>
          </w:tcPr>
          <w:p>
            <w:pPr>
              <w:rPr>
                <w:rFonts w:hint="eastAsia" w:ascii="宋体" w:hAnsi="宋体" w:eastAsia="宋体" w:cs="宋体"/>
                <w:sz w:val="21"/>
                <w:szCs w:val="21"/>
              </w:rPr>
            </w:pPr>
          </w:p>
        </w:tc>
        <w:tc>
          <w:tcPr>
            <w:tcW w:w="868" w:type="dxa"/>
            <w:gridSpan w:val="2"/>
            <w:vAlign w:val="center"/>
          </w:tcPr>
          <w:p>
            <w:pPr>
              <w:rPr>
                <w:rFonts w:hint="eastAsia" w:ascii="宋体" w:hAnsi="宋体" w:eastAsia="宋体" w:cs="宋体"/>
                <w:sz w:val="21"/>
                <w:szCs w:val="21"/>
              </w:rPr>
            </w:pPr>
          </w:p>
        </w:tc>
        <w:tc>
          <w:tcPr>
            <w:tcW w:w="1393" w:type="dxa"/>
            <w:gridSpan w:val="3"/>
            <w:vAlign w:val="center"/>
          </w:tcPr>
          <w:p>
            <w:pPr>
              <w:rPr>
                <w:rFonts w:hint="eastAsia" w:ascii="宋体" w:hAnsi="宋体" w:eastAsia="宋体" w:cs="宋体"/>
                <w:sz w:val="21"/>
                <w:szCs w:val="21"/>
              </w:rPr>
            </w:pPr>
          </w:p>
        </w:tc>
        <w:tc>
          <w:tcPr>
            <w:tcW w:w="1084"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eastAsia" w:ascii="宋体" w:hAnsi="宋体" w:eastAsia="宋体" w:cs="宋体"/>
                <w:sz w:val="21"/>
                <w:szCs w:val="21"/>
              </w:rPr>
            </w:pPr>
          </w:p>
        </w:tc>
        <w:tc>
          <w:tcPr>
            <w:tcW w:w="1152" w:type="dxa"/>
            <w:gridSpan w:val="2"/>
            <w:vAlign w:val="center"/>
          </w:tcPr>
          <w:p>
            <w:pPr>
              <w:rPr>
                <w:rFonts w:hint="eastAsia" w:ascii="宋体" w:hAnsi="宋体" w:eastAsia="宋体" w:cs="宋体"/>
                <w:sz w:val="21"/>
                <w:szCs w:val="21"/>
              </w:rPr>
            </w:pPr>
          </w:p>
        </w:tc>
        <w:tc>
          <w:tcPr>
            <w:tcW w:w="567" w:type="dxa"/>
            <w:vAlign w:val="center"/>
          </w:tcPr>
          <w:p>
            <w:pPr>
              <w:rPr>
                <w:rFonts w:hint="eastAsia" w:ascii="宋体" w:hAnsi="宋体" w:eastAsia="宋体" w:cs="宋体"/>
                <w:sz w:val="21"/>
                <w:szCs w:val="21"/>
              </w:rPr>
            </w:pPr>
          </w:p>
        </w:tc>
        <w:tc>
          <w:tcPr>
            <w:tcW w:w="2835" w:type="dxa"/>
            <w:gridSpan w:val="4"/>
            <w:vAlign w:val="center"/>
          </w:tcPr>
          <w:p>
            <w:pPr>
              <w:rPr>
                <w:rFonts w:hint="eastAsia" w:ascii="宋体" w:hAnsi="宋体" w:eastAsia="宋体" w:cs="宋体"/>
                <w:sz w:val="21"/>
                <w:szCs w:val="21"/>
              </w:rPr>
            </w:pPr>
          </w:p>
        </w:tc>
        <w:tc>
          <w:tcPr>
            <w:tcW w:w="932" w:type="dxa"/>
            <w:gridSpan w:val="3"/>
            <w:vAlign w:val="center"/>
          </w:tcPr>
          <w:p>
            <w:pPr>
              <w:rPr>
                <w:rFonts w:hint="eastAsia" w:ascii="宋体" w:hAnsi="宋体" w:eastAsia="宋体" w:cs="宋体"/>
                <w:sz w:val="21"/>
                <w:szCs w:val="21"/>
              </w:rPr>
            </w:pPr>
          </w:p>
        </w:tc>
        <w:tc>
          <w:tcPr>
            <w:tcW w:w="868" w:type="dxa"/>
            <w:gridSpan w:val="2"/>
            <w:vAlign w:val="center"/>
          </w:tcPr>
          <w:p>
            <w:pPr>
              <w:rPr>
                <w:rFonts w:hint="eastAsia" w:ascii="宋体" w:hAnsi="宋体" w:eastAsia="宋体" w:cs="宋体"/>
                <w:sz w:val="21"/>
                <w:szCs w:val="21"/>
              </w:rPr>
            </w:pPr>
          </w:p>
        </w:tc>
        <w:tc>
          <w:tcPr>
            <w:tcW w:w="1393" w:type="dxa"/>
            <w:gridSpan w:val="3"/>
            <w:vAlign w:val="center"/>
          </w:tcPr>
          <w:p>
            <w:pPr>
              <w:rPr>
                <w:rFonts w:hint="eastAsia" w:ascii="宋体" w:hAnsi="宋体" w:eastAsia="宋体" w:cs="宋体"/>
                <w:sz w:val="21"/>
                <w:szCs w:val="21"/>
              </w:rPr>
            </w:pPr>
          </w:p>
        </w:tc>
        <w:tc>
          <w:tcPr>
            <w:tcW w:w="1084"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pPr>
              <w:rPr>
                <w:rFonts w:hint="eastAsia" w:ascii="宋体" w:hAnsi="宋体" w:eastAsia="宋体" w:cs="宋体"/>
                <w:sz w:val="21"/>
                <w:szCs w:val="21"/>
              </w:rPr>
            </w:pPr>
            <w:r>
              <w:rPr>
                <w:rFonts w:hint="eastAsia" w:ascii="宋体" w:hAnsi="宋体" w:eastAsia="宋体" w:cs="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rFonts w:hint="eastAsia" w:ascii="宋体" w:hAnsi="宋体" w:eastAsia="宋体" w:cs="宋体"/>
                <w:sz w:val="21"/>
                <w:szCs w:val="21"/>
              </w:rPr>
            </w:pPr>
            <w:r>
              <w:rPr>
                <w:rFonts w:hint="eastAsia" w:ascii="宋体" w:hAnsi="宋体" w:eastAsia="宋体" w:cs="宋体"/>
                <w:sz w:val="21"/>
                <w:szCs w:val="21"/>
              </w:rPr>
              <w:t>审核组长</w:t>
            </w:r>
          </w:p>
        </w:tc>
        <w:tc>
          <w:tcPr>
            <w:tcW w:w="2977" w:type="dxa"/>
            <w:gridSpan w:val="5"/>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521970" cy="302260"/>
                  <wp:effectExtent l="0" t="0" r="11430" b="2540"/>
                  <wp:docPr id="1" name="图片 1"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3"/>
                          <pic:cNvPicPr>
                            <a:picLocks noChangeAspect="1"/>
                          </pic:cNvPicPr>
                        </pic:nvPicPr>
                        <pic:blipFill>
                          <a:blip r:embed="rId6"/>
                          <a:stretch>
                            <a:fillRect/>
                          </a:stretch>
                        </pic:blipFill>
                        <pic:spPr>
                          <a:xfrm>
                            <a:off x="0" y="0"/>
                            <a:ext cx="521970" cy="302260"/>
                          </a:xfrm>
                          <a:prstGeom prst="rect">
                            <a:avLst/>
                          </a:prstGeom>
                        </pic:spPr>
                      </pic:pic>
                    </a:graphicData>
                  </a:graphic>
                </wp:inline>
              </w:drawing>
            </w:r>
          </w:p>
        </w:tc>
        <w:tc>
          <w:tcPr>
            <w:tcW w:w="2126" w:type="dxa"/>
            <w:gridSpan w:val="4"/>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受审核方</w:t>
            </w:r>
          </w:p>
          <w:p>
            <w:pPr>
              <w:rPr>
                <w:rFonts w:hint="eastAsia" w:ascii="宋体" w:hAnsi="宋体" w:eastAsia="宋体" w:cs="宋体"/>
                <w:sz w:val="21"/>
                <w:szCs w:val="21"/>
              </w:rPr>
            </w:pPr>
            <w:r>
              <w:rPr>
                <w:rFonts w:hint="eastAsia" w:ascii="宋体" w:hAnsi="宋体" w:eastAsia="宋体" w:cs="宋体"/>
                <w:sz w:val="21"/>
                <w:szCs w:val="21"/>
              </w:rPr>
              <w:t>签字及公章</w:t>
            </w:r>
          </w:p>
        </w:tc>
        <w:tc>
          <w:tcPr>
            <w:tcW w:w="3922" w:type="dxa"/>
            <w:gridSpan w:val="8"/>
            <w:vMerge w:val="restart"/>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联系电话</w:t>
            </w:r>
          </w:p>
        </w:tc>
        <w:tc>
          <w:tcPr>
            <w:tcW w:w="2977" w:type="dxa"/>
            <w:gridSpan w:val="5"/>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17706316076</w:t>
            </w:r>
          </w:p>
        </w:tc>
        <w:tc>
          <w:tcPr>
            <w:tcW w:w="2126" w:type="dxa"/>
            <w:gridSpan w:val="4"/>
            <w:vMerge w:val="continue"/>
            <w:vAlign w:val="center"/>
          </w:tcPr>
          <w:p>
            <w:pPr>
              <w:spacing w:line="360" w:lineRule="auto"/>
              <w:rPr>
                <w:rFonts w:hint="eastAsia" w:ascii="宋体" w:hAnsi="宋体" w:eastAsia="宋体" w:cs="宋体"/>
                <w:sz w:val="21"/>
                <w:szCs w:val="21"/>
              </w:rPr>
            </w:pPr>
          </w:p>
        </w:tc>
        <w:tc>
          <w:tcPr>
            <w:tcW w:w="3922" w:type="dxa"/>
            <w:gridSpan w:val="8"/>
            <w:vMerge w:val="continue"/>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日期</w:t>
            </w:r>
          </w:p>
        </w:tc>
        <w:tc>
          <w:tcPr>
            <w:tcW w:w="2977" w:type="dxa"/>
            <w:gridSpan w:val="5"/>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2022-06-18</w:t>
            </w:r>
          </w:p>
        </w:tc>
        <w:tc>
          <w:tcPr>
            <w:tcW w:w="2126" w:type="dxa"/>
            <w:gridSpan w:val="4"/>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日期</w:t>
            </w:r>
          </w:p>
        </w:tc>
        <w:tc>
          <w:tcPr>
            <w:tcW w:w="3922" w:type="dxa"/>
            <w:gridSpan w:val="8"/>
            <w:vAlign w:val="center"/>
          </w:tcPr>
          <w:p>
            <w:pPr>
              <w:spacing w:line="360" w:lineRule="auto"/>
              <w:rPr>
                <w:rFonts w:hint="eastAsia" w:ascii="宋体" w:hAnsi="宋体" w:eastAsia="宋体" w:cs="宋体"/>
                <w:sz w:val="21"/>
                <w:szCs w:val="21"/>
              </w:rPr>
            </w:pPr>
          </w:p>
        </w:tc>
      </w:tr>
    </w:tbl>
    <w:p>
      <w:pPr>
        <w:snapToGrid w:val="0"/>
        <w:spacing w:before="163" w:beforeLines="50" w:line="320" w:lineRule="exact"/>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59"/>
        <w:gridCol w:w="681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b/>
                <w:sz w:val="21"/>
                <w:szCs w:val="21"/>
              </w:rPr>
            </w:pPr>
            <w:r>
              <w:rPr>
                <w:rFonts w:hint="eastAsia"/>
                <w:b/>
                <w:sz w:val="21"/>
                <w:szCs w:val="21"/>
              </w:rPr>
              <w:t>日期</w:t>
            </w:r>
          </w:p>
        </w:tc>
        <w:tc>
          <w:tcPr>
            <w:tcW w:w="1359" w:type="dxa"/>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b/>
                <w:sz w:val="21"/>
                <w:szCs w:val="21"/>
              </w:rPr>
            </w:pPr>
            <w:r>
              <w:rPr>
                <w:rFonts w:hint="eastAsia"/>
                <w:b/>
                <w:sz w:val="21"/>
                <w:szCs w:val="21"/>
              </w:rPr>
              <w:t>时间</w:t>
            </w:r>
          </w:p>
        </w:tc>
        <w:tc>
          <w:tcPr>
            <w:tcW w:w="6811" w:type="dxa"/>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b/>
                <w:sz w:val="21"/>
                <w:szCs w:val="21"/>
              </w:rPr>
            </w:pPr>
            <w:r>
              <w:rPr>
                <w:rFonts w:hint="eastAsia"/>
                <w:b/>
                <w:sz w:val="21"/>
                <w:szCs w:val="21"/>
              </w:rPr>
              <w:t>受审核部门、场所及审核内容</w:t>
            </w:r>
          </w:p>
        </w:tc>
        <w:tc>
          <w:tcPr>
            <w:tcW w:w="1196" w:type="dxa"/>
            <w:tcBorders>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eastAsia="宋体"/>
                <w:b/>
                <w:sz w:val="21"/>
                <w:szCs w:val="21"/>
                <w:lang w:val="en-US" w:eastAsia="zh-CN"/>
              </w:rPr>
            </w:pPr>
            <w:r>
              <w:rPr>
                <w:rFonts w:hint="eastAsia"/>
                <w:b/>
                <w:sz w:val="21"/>
                <w:szCs w:val="21"/>
                <w:lang w:val="en-US" w:eastAsia="zh-CN"/>
              </w:rPr>
              <w:t>2022-06-25全天</w:t>
            </w:r>
          </w:p>
        </w:tc>
        <w:tc>
          <w:tcPr>
            <w:tcW w:w="1359" w:type="dxa"/>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eastAsia="宋体"/>
                <w:b/>
                <w:sz w:val="21"/>
                <w:szCs w:val="21"/>
                <w:lang w:val="en-US" w:eastAsia="zh-CN"/>
              </w:rPr>
            </w:pPr>
            <w:r>
              <w:rPr>
                <w:rFonts w:hint="eastAsia"/>
                <w:b/>
                <w:sz w:val="21"/>
                <w:szCs w:val="21"/>
                <w:lang w:val="en-US" w:eastAsia="zh-CN"/>
              </w:rPr>
              <w:t>8:30-9:00</w:t>
            </w:r>
          </w:p>
        </w:tc>
        <w:tc>
          <w:tcPr>
            <w:tcW w:w="6811" w:type="dxa"/>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b/>
                <w:sz w:val="21"/>
                <w:szCs w:val="21"/>
              </w:rPr>
            </w:pPr>
            <w:r>
              <w:rPr>
                <w:rFonts w:hint="eastAsia"/>
                <w:b/>
                <w:sz w:val="21"/>
                <w:szCs w:val="21"/>
              </w:rPr>
              <w:t>首次会议</w:t>
            </w:r>
          </w:p>
        </w:tc>
        <w:tc>
          <w:tcPr>
            <w:tcW w:w="1196" w:type="dxa"/>
            <w:tcBorders>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eastAsia="宋体"/>
                <w:b/>
                <w:sz w:val="21"/>
                <w:szCs w:val="21"/>
                <w:lang w:eastAsia="zh-CN"/>
              </w:rPr>
            </w:pP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b/>
                <w:sz w:val="21"/>
                <w:szCs w:val="21"/>
              </w:rPr>
            </w:pPr>
          </w:p>
        </w:tc>
        <w:tc>
          <w:tcPr>
            <w:tcW w:w="1359" w:type="dxa"/>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eastAsia="宋体"/>
                <w:b/>
                <w:sz w:val="21"/>
                <w:szCs w:val="21"/>
                <w:lang w:val="en-US" w:eastAsia="zh-CN"/>
              </w:rPr>
            </w:pPr>
            <w:r>
              <w:rPr>
                <w:rFonts w:hint="eastAsia"/>
                <w:b/>
                <w:sz w:val="21"/>
                <w:szCs w:val="21"/>
                <w:lang w:val="en-US" w:eastAsia="zh-CN"/>
              </w:rPr>
              <w:t>9:00-10:00</w:t>
            </w:r>
          </w:p>
        </w:tc>
        <w:tc>
          <w:tcPr>
            <w:tcW w:w="6811" w:type="dxa"/>
            <w:vAlign w:val="center"/>
          </w:tcPr>
          <w:p>
            <w:pPr>
              <w:keepNext w:val="0"/>
              <w:keepLines w:val="0"/>
              <w:pageBreakBefore w:val="0"/>
              <w:kinsoku/>
              <w:wordWrap/>
              <w:overflowPunct/>
              <w:topLinePunct w:val="0"/>
              <w:autoSpaceDE/>
              <w:autoSpaceDN/>
              <w:bidi w:val="0"/>
              <w:adjustRightInd/>
              <w:spacing w:line="300" w:lineRule="exact"/>
              <w:textAlignment w:val="auto"/>
              <w:rPr>
                <w:sz w:val="21"/>
                <w:szCs w:val="21"/>
                <w:shd w:val="pct10" w:color="auto" w:fill="FFFFFF"/>
              </w:rPr>
            </w:pPr>
            <w:r>
              <w:rPr>
                <w:rFonts w:hint="eastAsia"/>
                <w:sz w:val="21"/>
                <w:szCs w:val="21"/>
                <w:shd w:val="pct10" w:color="auto" w:fill="FFFFFF"/>
              </w:rPr>
              <w:t>合同基本信息确认</w:t>
            </w:r>
            <w:r>
              <w:rPr>
                <w:sz w:val="21"/>
                <w:szCs w:val="21"/>
                <w:shd w:val="pct10" w:color="auto" w:fill="FFFFFF"/>
              </w:rPr>
              <w:t>:</w:t>
            </w:r>
          </w:p>
          <w:p>
            <w:pPr>
              <w:pStyle w:val="8"/>
              <w:keepNext w:val="0"/>
              <w:keepLines w:val="0"/>
              <w:pageBreakBefore w:val="0"/>
              <w:numPr>
                <w:ilvl w:val="0"/>
                <w:numId w:val="1"/>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核对资质证书（营业执照、生产（安全）许可证、行业许可证、3C证书等）</w:t>
            </w:r>
            <w:r>
              <w:rPr>
                <w:rFonts w:hint="eastAsia"/>
                <w:b/>
                <w:bCs/>
                <w:color w:val="FF0000"/>
                <w:sz w:val="21"/>
                <w:szCs w:val="21"/>
              </w:rPr>
              <w:t>原件</w:t>
            </w:r>
            <w:r>
              <w:rPr>
                <w:rFonts w:hint="eastAsia"/>
                <w:sz w:val="21"/>
                <w:szCs w:val="21"/>
              </w:rPr>
              <w:t>和复印件</w:t>
            </w:r>
            <w:r>
              <w:rPr>
                <w:sz w:val="21"/>
                <w:szCs w:val="21"/>
              </w:rPr>
              <w:t>/</w:t>
            </w:r>
            <w:r>
              <w:rPr>
                <w:rFonts w:hint="eastAsia"/>
                <w:sz w:val="21"/>
                <w:szCs w:val="21"/>
              </w:rPr>
              <w:t>扫描件的一致性</w:t>
            </w:r>
          </w:p>
          <w:p>
            <w:pPr>
              <w:pStyle w:val="8"/>
              <w:keepNext w:val="0"/>
              <w:keepLines w:val="0"/>
              <w:pageBreakBefore w:val="0"/>
              <w:numPr>
                <w:ilvl w:val="0"/>
                <w:numId w:val="1"/>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确定审核范围的合理性（地址、产品/服务）</w:t>
            </w:r>
          </w:p>
          <w:p>
            <w:pPr>
              <w:pStyle w:val="8"/>
              <w:keepNext w:val="0"/>
              <w:keepLines w:val="0"/>
              <w:pageBreakBefore w:val="0"/>
              <w:numPr>
                <w:ilvl w:val="0"/>
                <w:numId w:val="1"/>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确定多现场和临时现场的地址</w:t>
            </w:r>
          </w:p>
          <w:p>
            <w:pPr>
              <w:pStyle w:val="8"/>
              <w:keepNext w:val="0"/>
              <w:keepLines w:val="0"/>
              <w:pageBreakBefore w:val="0"/>
              <w:numPr>
                <w:ilvl w:val="0"/>
                <w:numId w:val="1"/>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确定有效的员工人数</w:t>
            </w:r>
          </w:p>
          <w:p>
            <w:pPr>
              <w:pStyle w:val="8"/>
              <w:keepNext w:val="0"/>
              <w:keepLines w:val="0"/>
              <w:pageBreakBefore w:val="0"/>
              <w:numPr>
                <w:ilvl w:val="0"/>
                <w:numId w:val="1"/>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生产、服务的班次</w:t>
            </w:r>
          </w:p>
          <w:p>
            <w:pPr>
              <w:pStyle w:val="8"/>
              <w:keepNext w:val="0"/>
              <w:keepLines w:val="0"/>
              <w:pageBreakBefore w:val="0"/>
              <w:numPr>
                <w:ilvl w:val="0"/>
                <w:numId w:val="1"/>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体系运行时间是否满足3个月</w:t>
            </w:r>
          </w:p>
        </w:tc>
        <w:tc>
          <w:tcPr>
            <w:tcW w:w="1196" w:type="dxa"/>
            <w:tcBorders>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b/>
                <w:sz w:val="21"/>
                <w:szCs w:val="21"/>
              </w:rPr>
            </w:pPr>
            <w:r>
              <w:rPr>
                <w:rFonts w:hint="eastAsia"/>
                <w:b/>
                <w:sz w:val="21"/>
                <w:szCs w:val="21"/>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b/>
                <w:sz w:val="21"/>
                <w:szCs w:val="21"/>
              </w:rPr>
            </w:pPr>
          </w:p>
        </w:tc>
        <w:tc>
          <w:tcPr>
            <w:tcW w:w="1359" w:type="dxa"/>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eastAsia="宋体"/>
                <w:b/>
                <w:sz w:val="21"/>
                <w:szCs w:val="21"/>
                <w:lang w:val="en-US" w:eastAsia="zh-CN"/>
              </w:rPr>
            </w:pPr>
            <w:r>
              <w:rPr>
                <w:rFonts w:hint="eastAsia"/>
                <w:b/>
                <w:sz w:val="21"/>
                <w:szCs w:val="21"/>
                <w:lang w:val="en-US" w:eastAsia="zh-CN"/>
              </w:rPr>
              <w:t>10:00-11:00</w:t>
            </w:r>
          </w:p>
        </w:tc>
        <w:tc>
          <w:tcPr>
            <w:tcW w:w="6811" w:type="dxa"/>
            <w:vAlign w:val="center"/>
          </w:tcPr>
          <w:p>
            <w:pPr>
              <w:keepNext w:val="0"/>
              <w:keepLines w:val="0"/>
              <w:pageBreakBefore w:val="0"/>
              <w:kinsoku/>
              <w:wordWrap/>
              <w:overflowPunct/>
              <w:topLinePunct w:val="0"/>
              <w:autoSpaceDE/>
              <w:autoSpaceDN/>
              <w:bidi w:val="0"/>
              <w:adjustRightInd/>
              <w:spacing w:line="300" w:lineRule="exact"/>
              <w:textAlignment w:val="auto"/>
              <w:rPr>
                <w:sz w:val="21"/>
                <w:szCs w:val="21"/>
                <w:shd w:val="pct10" w:color="auto" w:fill="FFFFFF"/>
              </w:rPr>
            </w:pPr>
            <w:r>
              <w:rPr>
                <w:rFonts w:hint="eastAsia"/>
                <w:sz w:val="21"/>
                <w:szCs w:val="21"/>
                <w:shd w:val="pct10" w:color="auto" w:fill="FFFFFF"/>
              </w:rPr>
              <w:t>了解企业基本情况：</w:t>
            </w:r>
          </w:p>
          <w:p>
            <w:pPr>
              <w:keepNext w:val="0"/>
              <w:keepLines w:val="0"/>
              <w:pageBreakBefore w:val="0"/>
              <w:widowControl/>
              <w:numPr>
                <w:ilvl w:val="0"/>
                <w:numId w:val="2"/>
              </w:numPr>
              <w:kinsoku/>
              <w:wordWrap/>
              <w:overflowPunct/>
              <w:topLinePunct w:val="0"/>
              <w:autoSpaceDE/>
              <w:autoSpaceDN/>
              <w:bidi w:val="0"/>
              <w:adjustRightInd/>
              <w:spacing w:line="300" w:lineRule="exact"/>
              <w:jc w:val="left"/>
              <w:textAlignment w:val="auto"/>
              <w:rPr>
                <w:sz w:val="21"/>
                <w:szCs w:val="21"/>
              </w:rPr>
            </w:pPr>
            <w:r>
              <w:rPr>
                <w:rFonts w:hint="eastAsia"/>
                <w:sz w:val="21"/>
                <w:szCs w:val="21"/>
              </w:rPr>
              <w:t>组织环境</w:t>
            </w:r>
          </w:p>
          <w:p>
            <w:pPr>
              <w:keepNext w:val="0"/>
              <w:keepLines w:val="0"/>
              <w:pageBreakBefore w:val="0"/>
              <w:widowControl/>
              <w:numPr>
                <w:ilvl w:val="0"/>
                <w:numId w:val="2"/>
              </w:numPr>
              <w:kinsoku/>
              <w:wordWrap/>
              <w:overflowPunct/>
              <w:topLinePunct w:val="0"/>
              <w:autoSpaceDE/>
              <w:autoSpaceDN/>
              <w:bidi w:val="0"/>
              <w:adjustRightInd/>
              <w:spacing w:line="300" w:lineRule="exact"/>
              <w:jc w:val="left"/>
              <w:textAlignment w:val="auto"/>
              <w:rPr>
                <w:sz w:val="21"/>
                <w:szCs w:val="21"/>
              </w:rPr>
            </w:pPr>
            <w:r>
              <w:rPr>
                <w:rFonts w:hint="eastAsia"/>
                <w:sz w:val="21"/>
                <w:szCs w:val="21"/>
              </w:rPr>
              <w:t>主要的相关方和期望</w:t>
            </w:r>
          </w:p>
          <w:p>
            <w:pPr>
              <w:keepNext w:val="0"/>
              <w:keepLines w:val="0"/>
              <w:pageBreakBefore w:val="0"/>
              <w:widowControl/>
              <w:numPr>
                <w:ilvl w:val="0"/>
                <w:numId w:val="2"/>
              </w:numPr>
              <w:kinsoku/>
              <w:wordWrap/>
              <w:overflowPunct/>
              <w:topLinePunct w:val="0"/>
              <w:autoSpaceDE/>
              <w:autoSpaceDN/>
              <w:bidi w:val="0"/>
              <w:adjustRightInd/>
              <w:spacing w:line="300" w:lineRule="exact"/>
              <w:jc w:val="left"/>
              <w:textAlignment w:val="auto"/>
              <w:rPr>
                <w:sz w:val="21"/>
                <w:szCs w:val="21"/>
              </w:rPr>
            </w:pPr>
            <w:r>
              <w:rPr>
                <w:rFonts w:hint="eastAsia"/>
                <w:sz w:val="21"/>
                <w:szCs w:val="21"/>
              </w:rPr>
              <w:t>风险的识别和评价</w:t>
            </w:r>
          </w:p>
          <w:p>
            <w:pPr>
              <w:keepNext w:val="0"/>
              <w:keepLines w:val="0"/>
              <w:pageBreakBefore w:val="0"/>
              <w:widowControl/>
              <w:numPr>
                <w:ilvl w:val="0"/>
                <w:numId w:val="2"/>
              </w:numPr>
              <w:kinsoku/>
              <w:wordWrap/>
              <w:overflowPunct/>
              <w:topLinePunct w:val="0"/>
              <w:autoSpaceDE/>
              <w:autoSpaceDN/>
              <w:bidi w:val="0"/>
              <w:adjustRightInd/>
              <w:spacing w:line="300" w:lineRule="exact"/>
              <w:jc w:val="left"/>
              <w:textAlignment w:val="auto"/>
              <w:rPr>
                <w:sz w:val="21"/>
                <w:szCs w:val="21"/>
              </w:rPr>
            </w:pPr>
            <w:r>
              <w:rPr>
                <w:rFonts w:hint="eastAsia"/>
                <w:sz w:val="21"/>
                <w:szCs w:val="21"/>
              </w:rPr>
              <w:t>组织机构的设置</w:t>
            </w:r>
          </w:p>
          <w:p>
            <w:pPr>
              <w:keepNext w:val="0"/>
              <w:keepLines w:val="0"/>
              <w:pageBreakBefore w:val="0"/>
              <w:widowControl/>
              <w:numPr>
                <w:ilvl w:val="0"/>
                <w:numId w:val="2"/>
              </w:numPr>
              <w:kinsoku/>
              <w:wordWrap/>
              <w:overflowPunct/>
              <w:topLinePunct w:val="0"/>
              <w:autoSpaceDE/>
              <w:autoSpaceDN/>
              <w:bidi w:val="0"/>
              <w:adjustRightInd/>
              <w:spacing w:line="300" w:lineRule="exact"/>
              <w:jc w:val="left"/>
              <w:textAlignment w:val="auto"/>
              <w:rPr>
                <w:sz w:val="21"/>
                <w:szCs w:val="21"/>
              </w:rPr>
            </w:pPr>
            <w:r>
              <w:rPr>
                <w:rFonts w:hint="eastAsia"/>
                <w:sz w:val="21"/>
                <w:szCs w:val="21"/>
              </w:rPr>
              <w:t>外部提供过程、产品和服务</w:t>
            </w:r>
          </w:p>
          <w:p>
            <w:pPr>
              <w:keepNext w:val="0"/>
              <w:keepLines w:val="0"/>
              <w:pageBreakBefore w:val="0"/>
              <w:widowControl/>
              <w:numPr>
                <w:ilvl w:val="0"/>
                <w:numId w:val="2"/>
              </w:numPr>
              <w:kinsoku/>
              <w:wordWrap/>
              <w:overflowPunct/>
              <w:topLinePunct w:val="0"/>
              <w:autoSpaceDE/>
              <w:autoSpaceDN/>
              <w:bidi w:val="0"/>
              <w:adjustRightInd/>
              <w:spacing w:line="300" w:lineRule="exact"/>
              <w:jc w:val="left"/>
              <w:textAlignment w:val="auto"/>
              <w:rPr>
                <w:sz w:val="21"/>
                <w:szCs w:val="21"/>
              </w:rPr>
            </w:pPr>
            <w:r>
              <w:rPr>
                <w:rFonts w:hint="eastAsia"/>
                <w:sz w:val="21"/>
                <w:szCs w:val="21"/>
              </w:rPr>
              <w:t>被主管部门处罚和曝光情况</w:t>
            </w:r>
          </w:p>
          <w:p>
            <w:pPr>
              <w:keepNext w:val="0"/>
              <w:keepLines w:val="0"/>
              <w:pageBreakBefore w:val="0"/>
              <w:widowControl/>
              <w:numPr>
                <w:ilvl w:val="0"/>
                <w:numId w:val="2"/>
              </w:numPr>
              <w:kinsoku/>
              <w:wordWrap/>
              <w:overflowPunct/>
              <w:topLinePunct w:val="0"/>
              <w:autoSpaceDE/>
              <w:autoSpaceDN/>
              <w:bidi w:val="0"/>
              <w:adjustRightInd/>
              <w:spacing w:line="300" w:lineRule="exact"/>
              <w:jc w:val="left"/>
              <w:textAlignment w:val="auto"/>
              <w:rPr>
                <w:sz w:val="21"/>
                <w:szCs w:val="21"/>
              </w:rPr>
            </w:pPr>
            <w:r>
              <w:rPr>
                <w:rFonts w:hint="eastAsia"/>
                <w:sz w:val="21"/>
                <w:szCs w:val="21"/>
              </w:rPr>
              <w:t>其他机构转入情况（适用时）</w:t>
            </w:r>
          </w:p>
        </w:tc>
        <w:tc>
          <w:tcPr>
            <w:tcW w:w="1196" w:type="dxa"/>
            <w:tcBorders>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b/>
                <w:sz w:val="21"/>
                <w:szCs w:val="21"/>
              </w:rPr>
            </w:pPr>
            <w:r>
              <w:rPr>
                <w:rFonts w:hint="eastAsia"/>
                <w:b/>
                <w:sz w:val="21"/>
                <w:szCs w:val="21"/>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b/>
                <w:sz w:val="21"/>
                <w:szCs w:val="21"/>
              </w:rPr>
            </w:pPr>
          </w:p>
        </w:tc>
        <w:tc>
          <w:tcPr>
            <w:tcW w:w="1359" w:type="dxa"/>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eastAsia="宋体"/>
                <w:b/>
                <w:sz w:val="21"/>
                <w:szCs w:val="21"/>
                <w:lang w:val="en-US" w:eastAsia="zh-CN"/>
              </w:rPr>
            </w:pPr>
            <w:r>
              <w:rPr>
                <w:rFonts w:hint="eastAsia"/>
                <w:b/>
                <w:sz w:val="21"/>
                <w:szCs w:val="21"/>
                <w:lang w:val="en-US" w:eastAsia="zh-CN"/>
              </w:rPr>
              <w:t>11:00-11:30</w:t>
            </w:r>
          </w:p>
        </w:tc>
        <w:tc>
          <w:tcPr>
            <w:tcW w:w="6811" w:type="dxa"/>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sz w:val="21"/>
                <w:szCs w:val="21"/>
                <w:shd w:val="pct10" w:color="auto" w:fill="FFFFFF"/>
              </w:rPr>
            </w:pPr>
            <w:r>
              <w:rPr>
                <w:rFonts w:hint="eastAsia"/>
                <w:sz w:val="21"/>
                <w:szCs w:val="21"/>
                <w:shd w:val="pct10" w:color="auto" w:fill="FFFFFF"/>
              </w:rPr>
              <w:t>文件化体系策划情况</w:t>
            </w:r>
          </w:p>
          <w:p>
            <w:pPr>
              <w:keepNext w:val="0"/>
              <w:keepLines w:val="0"/>
              <w:pageBreakBefore w:val="0"/>
              <w:widowControl/>
              <w:numPr>
                <w:ilvl w:val="0"/>
                <w:numId w:val="2"/>
              </w:numPr>
              <w:kinsoku/>
              <w:wordWrap/>
              <w:overflowPunct/>
              <w:topLinePunct w:val="0"/>
              <w:autoSpaceDE/>
              <w:autoSpaceDN/>
              <w:bidi w:val="0"/>
              <w:adjustRightInd/>
              <w:spacing w:line="300" w:lineRule="exact"/>
              <w:jc w:val="left"/>
              <w:textAlignment w:val="auto"/>
              <w:rPr>
                <w:rFonts w:hint="eastAsia"/>
                <w:sz w:val="21"/>
                <w:szCs w:val="21"/>
              </w:rPr>
            </w:pPr>
            <w:r>
              <w:rPr>
                <w:rFonts w:hint="eastAsia"/>
                <w:sz w:val="21"/>
                <w:szCs w:val="21"/>
              </w:rPr>
              <w:t>管理手册；</w:t>
            </w:r>
          </w:p>
          <w:p>
            <w:pPr>
              <w:keepNext w:val="0"/>
              <w:keepLines w:val="0"/>
              <w:pageBreakBefore w:val="0"/>
              <w:widowControl/>
              <w:numPr>
                <w:ilvl w:val="0"/>
                <w:numId w:val="2"/>
              </w:numPr>
              <w:kinsoku/>
              <w:wordWrap/>
              <w:overflowPunct/>
              <w:topLinePunct w:val="0"/>
              <w:autoSpaceDE/>
              <w:autoSpaceDN/>
              <w:bidi w:val="0"/>
              <w:adjustRightInd/>
              <w:spacing w:line="300" w:lineRule="exact"/>
              <w:jc w:val="left"/>
              <w:textAlignment w:val="auto"/>
              <w:rPr>
                <w:rFonts w:hint="eastAsia"/>
                <w:sz w:val="21"/>
                <w:szCs w:val="21"/>
              </w:rPr>
            </w:pPr>
            <w:r>
              <w:rPr>
                <w:rFonts w:hint="eastAsia"/>
                <w:sz w:val="21"/>
                <w:szCs w:val="21"/>
              </w:rPr>
              <w:t>文件化的程序；</w:t>
            </w:r>
          </w:p>
          <w:p>
            <w:pPr>
              <w:keepNext w:val="0"/>
              <w:keepLines w:val="0"/>
              <w:pageBreakBefore w:val="0"/>
              <w:widowControl/>
              <w:numPr>
                <w:ilvl w:val="0"/>
                <w:numId w:val="2"/>
              </w:numPr>
              <w:kinsoku/>
              <w:wordWrap/>
              <w:overflowPunct/>
              <w:topLinePunct w:val="0"/>
              <w:autoSpaceDE/>
              <w:autoSpaceDN/>
              <w:bidi w:val="0"/>
              <w:adjustRightInd/>
              <w:spacing w:line="300" w:lineRule="exact"/>
              <w:jc w:val="left"/>
              <w:textAlignment w:val="auto"/>
              <w:rPr>
                <w:rFonts w:hint="eastAsia"/>
                <w:sz w:val="21"/>
                <w:szCs w:val="21"/>
              </w:rPr>
            </w:pPr>
            <w:r>
              <w:rPr>
                <w:rFonts w:hint="eastAsia"/>
                <w:sz w:val="21"/>
                <w:szCs w:val="21"/>
              </w:rPr>
              <w:t>作业文件；</w:t>
            </w:r>
          </w:p>
          <w:p>
            <w:pPr>
              <w:keepNext w:val="0"/>
              <w:keepLines w:val="0"/>
              <w:pageBreakBefore w:val="0"/>
              <w:widowControl/>
              <w:numPr>
                <w:ilvl w:val="0"/>
                <w:numId w:val="2"/>
              </w:numPr>
              <w:kinsoku/>
              <w:wordWrap/>
              <w:overflowPunct/>
              <w:topLinePunct w:val="0"/>
              <w:autoSpaceDE/>
              <w:autoSpaceDN/>
              <w:bidi w:val="0"/>
              <w:adjustRightInd/>
              <w:spacing w:line="300" w:lineRule="exact"/>
              <w:jc w:val="left"/>
              <w:textAlignment w:val="auto"/>
              <w:rPr>
                <w:sz w:val="21"/>
                <w:szCs w:val="21"/>
                <w:shd w:val="pct10" w:color="auto" w:fill="FFFFFF"/>
              </w:rPr>
            </w:pPr>
            <w:r>
              <w:rPr>
                <w:rFonts w:hint="eastAsia"/>
                <w:sz w:val="21"/>
                <w:szCs w:val="21"/>
              </w:rPr>
              <w:t>记录表格</w:t>
            </w:r>
          </w:p>
        </w:tc>
        <w:tc>
          <w:tcPr>
            <w:tcW w:w="1196" w:type="dxa"/>
            <w:tcBorders>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b/>
                <w:sz w:val="21"/>
                <w:szCs w:val="21"/>
              </w:rPr>
            </w:pPr>
            <w:r>
              <w:rPr>
                <w:rFonts w:hint="eastAsia"/>
                <w:b/>
                <w:sz w:val="21"/>
                <w:szCs w:val="21"/>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b/>
                <w:sz w:val="21"/>
                <w:szCs w:val="21"/>
              </w:rPr>
            </w:pPr>
          </w:p>
        </w:tc>
        <w:tc>
          <w:tcPr>
            <w:tcW w:w="1359" w:type="dxa"/>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eastAsia="宋体"/>
                <w:b/>
                <w:sz w:val="21"/>
                <w:szCs w:val="21"/>
                <w:lang w:val="en-US" w:eastAsia="zh-CN"/>
              </w:rPr>
            </w:pPr>
            <w:r>
              <w:rPr>
                <w:rFonts w:hint="eastAsia"/>
                <w:b/>
                <w:sz w:val="21"/>
                <w:szCs w:val="21"/>
                <w:lang w:val="en-US" w:eastAsia="zh-CN"/>
              </w:rPr>
              <w:t>11:30-12:30</w:t>
            </w:r>
          </w:p>
        </w:tc>
        <w:tc>
          <w:tcPr>
            <w:tcW w:w="6811" w:type="dxa"/>
            <w:vAlign w:val="center"/>
          </w:tcPr>
          <w:p>
            <w:pPr>
              <w:keepNext w:val="0"/>
              <w:keepLines w:val="0"/>
              <w:pageBreakBefore w:val="0"/>
              <w:widowControl/>
              <w:kinsoku/>
              <w:wordWrap/>
              <w:overflowPunct/>
              <w:topLinePunct w:val="0"/>
              <w:autoSpaceDE/>
              <w:autoSpaceDN/>
              <w:bidi w:val="0"/>
              <w:adjustRightInd/>
              <w:spacing w:before="40" w:line="300" w:lineRule="exact"/>
              <w:jc w:val="left"/>
              <w:textAlignment w:val="auto"/>
              <w:rPr>
                <w:sz w:val="21"/>
                <w:szCs w:val="21"/>
                <w:shd w:val="pct10" w:color="auto" w:fill="FFFFFF"/>
              </w:rPr>
            </w:pPr>
            <w:r>
              <w:rPr>
                <w:rFonts w:hint="eastAsia"/>
                <w:b/>
                <w:bCs/>
                <w:sz w:val="21"/>
                <w:szCs w:val="21"/>
                <w:shd w:val="pct10" w:color="auto" w:fill="FFFFFF"/>
              </w:rPr>
              <w:t>各</w:t>
            </w:r>
            <w:r>
              <w:rPr>
                <w:rFonts w:hint="eastAsia"/>
                <w:sz w:val="21"/>
                <w:szCs w:val="21"/>
                <w:shd w:val="pct10" w:color="auto" w:fill="FFFFFF"/>
              </w:rPr>
              <w:t>管理体系的运行情况：</w:t>
            </w:r>
          </w:p>
          <w:p>
            <w:pPr>
              <w:keepNext w:val="0"/>
              <w:keepLines w:val="0"/>
              <w:pageBreakBefore w:val="0"/>
              <w:widowControl/>
              <w:numPr>
                <w:ilvl w:val="0"/>
                <w:numId w:val="3"/>
              </w:numPr>
              <w:kinsoku/>
              <w:wordWrap/>
              <w:overflowPunct/>
              <w:topLinePunct w:val="0"/>
              <w:autoSpaceDE/>
              <w:autoSpaceDN/>
              <w:bidi w:val="0"/>
              <w:adjustRightInd/>
              <w:spacing w:before="40" w:line="300" w:lineRule="exact"/>
              <w:jc w:val="left"/>
              <w:textAlignment w:val="auto"/>
              <w:rPr>
                <w:sz w:val="21"/>
                <w:szCs w:val="21"/>
              </w:rPr>
            </w:pPr>
            <w:r>
              <w:rPr>
                <w:rFonts w:hint="eastAsia"/>
                <w:sz w:val="21"/>
                <w:szCs w:val="21"/>
              </w:rPr>
              <w:t>管理方针制定与贯彻情况</w:t>
            </w:r>
          </w:p>
          <w:p>
            <w:pPr>
              <w:keepNext w:val="0"/>
              <w:keepLines w:val="0"/>
              <w:pageBreakBefore w:val="0"/>
              <w:widowControl/>
              <w:numPr>
                <w:ilvl w:val="0"/>
                <w:numId w:val="3"/>
              </w:numPr>
              <w:kinsoku/>
              <w:wordWrap/>
              <w:overflowPunct/>
              <w:topLinePunct w:val="0"/>
              <w:autoSpaceDE/>
              <w:autoSpaceDN/>
              <w:bidi w:val="0"/>
              <w:adjustRightInd/>
              <w:spacing w:before="40" w:line="300" w:lineRule="exact"/>
              <w:jc w:val="left"/>
              <w:textAlignment w:val="auto"/>
              <w:rPr>
                <w:sz w:val="21"/>
                <w:szCs w:val="21"/>
              </w:rPr>
            </w:pPr>
            <w:r>
              <w:rPr>
                <w:rFonts w:hint="eastAsia"/>
                <w:sz w:val="21"/>
                <w:szCs w:val="21"/>
              </w:rPr>
              <w:t>管理目标及完成统计</w:t>
            </w:r>
          </w:p>
          <w:p>
            <w:pPr>
              <w:keepNext w:val="0"/>
              <w:keepLines w:val="0"/>
              <w:pageBreakBefore w:val="0"/>
              <w:widowControl/>
              <w:numPr>
                <w:ilvl w:val="0"/>
                <w:numId w:val="3"/>
              </w:numPr>
              <w:kinsoku/>
              <w:wordWrap/>
              <w:overflowPunct/>
              <w:topLinePunct w:val="0"/>
              <w:autoSpaceDE/>
              <w:autoSpaceDN/>
              <w:bidi w:val="0"/>
              <w:adjustRightInd/>
              <w:spacing w:line="300" w:lineRule="exact"/>
              <w:jc w:val="left"/>
              <w:textAlignment w:val="auto"/>
              <w:rPr>
                <w:sz w:val="21"/>
                <w:szCs w:val="21"/>
              </w:rPr>
            </w:pPr>
            <w:r>
              <w:rPr>
                <w:rFonts w:hint="eastAsia"/>
                <w:sz w:val="21"/>
                <w:szCs w:val="21"/>
              </w:rPr>
              <w:t>员工对相关标准的认知和能力（贯标培训、应知应会、持证上岗等）</w:t>
            </w:r>
          </w:p>
          <w:p>
            <w:pPr>
              <w:keepNext w:val="0"/>
              <w:keepLines w:val="0"/>
              <w:pageBreakBefore w:val="0"/>
              <w:widowControl/>
              <w:numPr>
                <w:ilvl w:val="0"/>
                <w:numId w:val="3"/>
              </w:numPr>
              <w:kinsoku/>
              <w:wordWrap/>
              <w:overflowPunct/>
              <w:topLinePunct w:val="0"/>
              <w:autoSpaceDE/>
              <w:autoSpaceDN/>
              <w:bidi w:val="0"/>
              <w:adjustRightInd/>
              <w:spacing w:before="40" w:line="300" w:lineRule="exact"/>
              <w:jc w:val="left"/>
              <w:textAlignment w:val="auto"/>
              <w:rPr>
                <w:sz w:val="21"/>
                <w:szCs w:val="21"/>
              </w:rPr>
            </w:pPr>
            <w:r>
              <w:rPr>
                <w:rFonts w:hint="eastAsia"/>
                <w:sz w:val="21"/>
                <w:szCs w:val="21"/>
              </w:rPr>
              <w:t>相关方/客户的反馈</w:t>
            </w:r>
          </w:p>
          <w:p>
            <w:pPr>
              <w:keepNext w:val="0"/>
              <w:keepLines w:val="0"/>
              <w:pageBreakBefore w:val="0"/>
              <w:widowControl/>
              <w:numPr>
                <w:ilvl w:val="0"/>
                <w:numId w:val="3"/>
              </w:numPr>
              <w:kinsoku/>
              <w:wordWrap/>
              <w:overflowPunct/>
              <w:topLinePunct w:val="0"/>
              <w:autoSpaceDE/>
              <w:autoSpaceDN/>
              <w:bidi w:val="0"/>
              <w:adjustRightInd/>
              <w:spacing w:before="40" w:line="300" w:lineRule="exact"/>
              <w:jc w:val="left"/>
              <w:textAlignment w:val="auto"/>
              <w:rPr>
                <w:sz w:val="21"/>
                <w:szCs w:val="21"/>
              </w:rPr>
            </w:pPr>
            <w:r>
              <w:rPr>
                <w:rFonts w:hint="eastAsia"/>
                <w:sz w:val="21"/>
                <w:szCs w:val="21"/>
              </w:rPr>
              <w:t>内审的策划和实施</w:t>
            </w:r>
          </w:p>
          <w:p>
            <w:pPr>
              <w:keepNext w:val="0"/>
              <w:keepLines w:val="0"/>
              <w:pageBreakBefore w:val="0"/>
              <w:widowControl/>
              <w:numPr>
                <w:ilvl w:val="0"/>
                <w:numId w:val="3"/>
              </w:numPr>
              <w:kinsoku/>
              <w:wordWrap/>
              <w:overflowPunct/>
              <w:topLinePunct w:val="0"/>
              <w:autoSpaceDE/>
              <w:autoSpaceDN/>
              <w:bidi w:val="0"/>
              <w:adjustRightInd/>
              <w:spacing w:before="40" w:line="300" w:lineRule="exact"/>
              <w:jc w:val="left"/>
              <w:textAlignment w:val="auto"/>
              <w:rPr>
                <w:sz w:val="21"/>
                <w:szCs w:val="21"/>
              </w:rPr>
            </w:pPr>
            <w:r>
              <w:rPr>
                <w:rFonts w:hint="eastAsia"/>
                <w:sz w:val="21"/>
                <w:szCs w:val="21"/>
              </w:rPr>
              <w:t>管理体系的评审</w:t>
            </w:r>
          </w:p>
          <w:p>
            <w:pPr>
              <w:keepNext w:val="0"/>
              <w:keepLines w:val="0"/>
              <w:pageBreakBefore w:val="0"/>
              <w:widowControl/>
              <w:numPr>
                <w:ilvl w:val="0"/>
                <w:numId w:val="3"/>
              </w:numPr>
              <w:kinsoku/>
              <w:wordWrap/>
              <w:overflowPunct/>
              <w:topLinePunct w:val="0"/>
              <w:autoSpaceDE/>
              <w:autoSpaceDN/>
              <w:bidi w:val="0"/>
              <w:adjustRightInd/>
              <w:spacing w:before="40" w:line="300" w:lineRule="exact"/>
              <w:jc w:val="left"/>
              <w:textAlignment w:val="auto"/>
              <w:rPr>
                <w:sz w:val="21"/>
                <w:szCs w:val="21"/>
              </w:rPr>
            </w:pPr>
            <w:r>
              <w:rPr>
                <w:rFonts w:hint="eastAsia"/>
                <w:sz w:val="21"/>
                <w:szCs w:val="21"/>
              </w:rPr>
              <w:t>对</w:t>
            </w:r>
            <w:r>
              <w:rPr>
                <w:sz w:val="21"/>
                <w:szCs w:val="21"/>
              </w:rPr>
              <w:t>多场所</w:t>
            </w:r>
            <w:r>
              <w:rPr>
                <w:rFonts w:hint="eastAsia"/>
                <w:sz w:val="21"/>
                <w:szCs w:val="21"/>
              </w:rPr>
              <w:t>/临时场所</w:t>
            </w:r>
            <w:r>
              <w:rPr>
                <w:sz w:val="21"/>
                <w:szCs w:val="21"/>
              </w:rPr>
              <w:t>建立的控制的水平（</w:t>
            </w:r>
            <w:r>
              <w:rPr>
                <w:rFonts w:hint="eastAsia"/>
                <w:sz w:val="21"/>
                <w:szCs w:val="21"/>
              </w:rPr>
              <w:t>适用</w:t>
            </w:r>
            <w:r>
              <w:rPr>
                <w:sz w:val="21"/>
                <w:szCs w:val="21"/>
              </w:rPr>
              <w:t>时）</w:t>
            </w:r>
          </w:p>
          <w:p>
            <w:pPr>
              <w:keepNext w:val="0"/>
              <w:keepLines w:val="0"/>
              <w:pageBreakBefore w:val="0"/>
              <w:widowControl/>
              <w:numPr>
                <w:ilvl w:val="0"/>
                <w:numId w:val="3"/>
              </w:numPr>
              <w:kinsoku/>
              <w:wordWrap/>
              <w:overflowPunct/>
              <w:topLinePunct w:val="0"/>
              <w:autoSpaceDE/>
              <w:autoSpaceDN/>
              <w:bidi w:val="0"/>
              <w:adjustRightInd/>
              <w:spacing w:line="300" w:lineRule="exact"/>
              <w:jc w:val="left"/>
              <w:textAlignment w:val="auto"/>
              <w:rPr>
                <w:sz w:val="21"/>
                <w:szCs w:val="21"/>
              </w:rPr>
            </w:pPr>
            <w:r>
              <w:rPr>
                <w:rFonts w:hint="eastAsia"/>
                <w:sz w:val="21"/>
                <w:szCs w:val="21"/>
              </w:rPr>
              <w:t>识别二阶段审核的资源配置情况和可行性</w:t>
            </w:r>
          </w:p>
        </w:tc>
        <w:tc>
          <w:tcPr>
            <w:tcW w:w="1196" w:type="dxa"/>
            <w:tcBorders>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eastAsia="宋体"/>
                <w:b/>
                <w:sz w:val="21"/>
                <w:szCs w:val="21"/>
                <w:lang w:eastAsia="zh-CN"/>
              </w:rPr>
            </w:pPr>
            <w:r>
              <w:rPr>
                <w:rFonts w:hint="eastAsia"/>
                <w:b/>
                <w:sz w:val="21"/>
                <w:szCs w:val="21"/>
              </w:rPr>
              <w:t>审核员</w:t>
            </w: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011" w:type="dxa"/>
            <w:vMerge w:val="continue"/>
            <w:tcBorders>
              <w:left w:val="single" w:color="auto" w:sz="8" w:space="0"/>
            </w:tcBorders>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b/>
                <w:sz w:val="21"/>
                <w:szCs w:val="21"/>
              </w:rPr>
            </w:pPr>
          </w:p>
        </w:tc>
        <w:tc>
          <w:tcPr>
            <w:tcW w:w="1359" w:type="dxa"/>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b/>
                <w:sz w:val="21"/>
                <w:szCs w:val="21"/>
                <w:lang w:val="en-US" w:eastAsia="zh-CN"/>
              </w:rPr>
            </w:pPr>
            <w:r>
              <w:rPr>
                <w:rFonts w:hint="eastAsia"/>
                <w:b/>
                <w:sz w:val="21"/>
                <w:szCs w:val="21"/>
                <w:lang w:val="en-US" w:eastAsia="zh-CN"/>
              </w:rPr>
              <w:t>12:30-13:00</w:t>
            </w:r>
          </w:p>
        </w:tc>
        <w:tc>
          <w:tcPr>
            <w:tcW w:w="6811" w:type="dxa"/>
            <w:vAlign w:val="center"/>
          </w:tcPr>
          <w:p>
            <w:pPr>
              <w:keepNext w:val="0"/>
              <w:keepLines w:val="0"/>
              <w:pageBreakBefore w:val="0"/>
              <w:widowControl/>
              <w:numPr>
                <w:ilvl w:val="0"/>
                <w:numId w:val="3"/>
              </w:numPr>
              <w:kinsoku/>
              <w:wordWrap/>
              <w:overflowPunct/>
              <w:topLinePunct w:val="0"/>
              <w:autoSpaceDE/>
              <w:autoSpaceDN/>
              <w:bidi w:val="0"/>
              <w:adjustRightInd/>
              <w:spacing w:line="300" w:lineRule="exact"/>
              <w:jc w:val="left"/>
              <w:textAlignment w:val="auto"/>
              <w:rPr>
                <w:rFonts w:hint="eastAsia"/>
                <w:sz w:val="21"/>
                <w:szCs w:val="21"/>
              </w:rPr>
            </w:pPr>
            <w:r>
              <w:rPr>
                <w:rFonts w:hint="eastAsia"/>
                <w:sz w:val="21"/>
                <w:szCs w:val="21"/>
                <w:lang w:val="en-US" w:eastAsia="zh-CN"/>
              </w:rPr>
              <w:t>午餐休息</w:t>
            </w:r>
          </w:p>
        </w:tc>
        <w:tc>
          <w:tcPr>
            <w:tcW w:w="1196" w:type="dxa"/>
            <w:tcBorders>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b/>
                <w:sz w:val="21"/>
                <w:szCs w:val="21"/>
              </w:rPr>
            </w:pPr>
            <w:r>
              <w:rPr>
                <w:rFonts w:hint="eastAsia"/>
                <w:b/>
                <w:sz w:val="21"/>
                <w:szCs w:val="21"/>
              </w:rPr>
              <w:t>审核员</w:t>
            </w: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FDE9D9" w:themeFill="accent6" w:themeFillTint="33"/>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b/>
                <w:sz w:val="21"/>
                <w:szCs w:val="21"/>
              </w:rPr>
            </w:pPr>
          </w:p>
        </w:tc>
        <w:tc>
          <w:tcPr>
            <w:tcW w:w="1359" w:type="dxa"/>
            <w:shd w:val="clear" w:color="auto" w:fill="FDE9D9" w:themeFill="accent6" w:themeFillTint="33"/>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eastAsia="宋体"/>
                <w:b/>
                <w:sz w:val="21"/>
                <w:szCs w:val="21"/>
                <w:lang w:val="en-US" w:eastAsia="zh-CN"/>
              </w:rPr>
            </w:pPr>
            <w:r>
              <w:rPr>
                <w:rFonts w:hint="eastAsia"/>
                <w:b/>
                <w:sz w:val="21"/>
                <w:szCs w:val="21"/>
                <w:lang w:val="en-US" w:eastAsia="zh-CN"/>
              </w:rPr>
              <w:t>13:00-15:00</w:t>
            </w:r>
          </w:p>
        </w:tc>
        <w:tc>
          <w:tcPr>
            <w:tcW w:w="6811" w:type="dxa"/>
            <w:shd w:val="clear" w:color="auto" w:fill="FDE9D9" w:themeFill="accent6" w:themeFillTint="33"/>
            <w:vAlign w:val="center"/>
          </w:tcPr>
          <w:p>
            <w:pPr>
              <w:keepNext w:val="0"/>
              <w:keepLines w:val="0"/>
              <w:pageBreakBefore w:val="0"/>
              <w:kinsoku/>
              <w:wordWrap/>
              <w:overflowPunct/>
              <w:topLinePunct w:val="0"/>
              <w:autoSpaceDE/>
              <w:autoSpaceDN/>
              <w:bidi w:val="0"/>
              <w:adjustRightInd/>
              <w:spacing w:line="300" w:lineRule="exact"/>
              <w:textAlignment w:val="auto"/>
              <w:rPr>
                <w:sz w:val="21"/>
                <w:szCs w:val="21"/>
              </w:rPr>
            </w:pPr>
            <w:r>
              <w:rPr>
                <w:rFonts w:hint="eastAsia"/>
                <w:sz w:val="21"/>
                <w:szCs w:val="21"/>
                <w:lang w:val="de-DE"/>
              </w:rPr>
              <w:t>□</w:t>
            </w:r>
            <w:r>
              <w:rPr>
                <w:rFonts w:hint="eastAsia"/>
                <w:sz w:val="21"/>
                <w:szCs w:val="21"/>
                <w:shd w:val="pct10" w:color="auto" w:fill="FFFFFF"/>
              </w:rPr>
              <w:t>FSMS</w:t>
            </w:r>
            <w:r>
              <w:rPr>
                <w:sz w:val="21"/>
                <w:szCs w:val="21"/>
                <w:shd w:val="pct10" w:color="auto" w:fill="FFFFFF"/>
              </w:rPr>
              <w:t>/</w:t>
            </w:r>
            <w:r>
              <w:rPr>
                <w:rFonts w:hint="eastAsia"/>
                <w:sz w:val="21"/>
                <w:szCs w:val="21"/>
                <w:lang w:val="de-DE"/>
              </w:rPr>
              <w:sym w:font="Wingdings 2" w:char="0052"/>
            </w:r>
            <w:r>
              <w:rPr>
                <w:sz w:val="21"/>
                <w:szCs w:val="21"/>
                <w:shd w:val="pct10" w:color="auto" w:fill="FFFFFF"/>
              </w:rPr>
              <w:t>HACCP</w:t>
            </w:r>
            <w:r>
              <w:rPr>
                <w:rFonts w:hint="eastAsia"/>
                <w:sz w:val="21"/>
                <w:szCs w:val="21"/>
                <w:shd w:val="pct10" w:color="auto" w:fill="FFFFFF"/>
              </w:rPr>
              <w:t>运行情况：</w:t>
            </w:r>
          </w:p>
          <w:p>
            <w:pPr>
              <w:pStyle w:val="8"/>
              <w:keepNext w:val="0"/>
              <w:keepLines w:val="0"/>
              <w:pageBreakBefore w:val="0"/>
              <w:numPr>
                <w:ilvl w:val="0"/>
                <w:numId w:val="3"/>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查看食品安全危害识别的充分性和评估的合理性</w:t>
            </w:r>
          </w:p>
          <w:p>
            <w:pPr>
              <w:pStyle w:val="8"/>
              <w:keepNext w:val="0"/>
              <w:keepLines w:val="0"/>
              <w:pageBreakBefore w:val="0"/>
              <w:numPr>
                <w:ilvl w:val="0"/>
                <w:numId w:val="3"/>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查看人流、物流、水流、气流的合理性</w:t>
            </w:r>
          </w:p>
          <w:p>
            <w:pPr>
              <w:pStyle w:val="8"/>
              <w:keepNext w:val="0"/>
              <w:keepLines w:val="0"/>
              <w:pageBreakBefore w:val="0"/>
              <w:numPr>
                <w:ilvl w:val="0"/>
                <w:numId w:val="3"/>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查看PRP、OPRP和HACCP计划（仅限FSMS）</w:t>
            </w:r>
            <w:r>
              <w:rPr>
                <w:rFonts w:hint="eastAsia"/>
                <w:sz w:val="21"/>
                <w:szCs w:val="21"/>
                <w:lang w:eastAsia="zh-CN"/>
              </w:rPr>
              <w:t>【</w:t>
            </w:r>
            <w:r>
              <w:rPr>
                <w:rFonts w:hint="eastAsia"/>
                <w:sz w:val="21"/>
                <w:szCs w:val="21"/>
                <w:lang w:val="en-US" w:eastAsia="zh-CN"/>
              </w:rPr>
              <w:t>不适用</w:t>
            </w:r>
            <w:r>
              <w:rPr>
                <w:rFonts w:hint="eastAsia"/>
                <w:sz w:val="21"/>
                <w:szCs w:val="21"/>
                <w:lang w:eastAsia="zh-CN"/>
              </w:rPr>
              <w:t>】</w:t>
            </w:r>
          </w:p>
          <w:p>
            <w:pPr>
              <w:pStyle w:val="8"/>
              <w:keepNext w:val="0"/>
              <w:keepLines w:val="0"/>
              <w:pageBreakBefore w:val="0"/>
              <w:numPr>
                <w:ilvl w:val="0"/>
                <w:numId w:val="3"/>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查看G</w:t>
            </w:r>
            <w:r>
              <w:rPr>
                <w:rFonts w:hint="eastAsia"/>
                <w:sz w:val="21"/>
                <w:szCs w:val="21"/>
                <w:lang w:val="en-US" w:eastAsia="zh-CN"/>
              </w:rPr>
              <w:t>H</w:t>
            </w:r>
            <w:r>
              <w:rPr>
                <w:rFonts w:hint="eastAsia"/>
                <w:sz w:val="21"/>
                <w:szCs w:val="21"/>
              </w:rPr>
              <w:t>P和HACCP计划（仅限HACCP）</w:t>
            </w:r>
          </w:p>
          <w:p>
            <w:pPr>
              <w:pStyle w:val="8"/>
              <w:keepNext w:val="0"/>
              <w:keepLines w:val="0"/>
              <w:pageBreakBefore w:val="0"/>
              <w:numPr>
                <w:ilvl w:val="0"/>
                <w:numId w:val="3"/>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了解食品安全的关键控制点、关键限值</w:t>
            </w:r>
            <w:r>
              <w:rPr>
                <w:sz w:val="21"/>
                <w:szCs w:val="21"/>
              </w:rPr>
              <w:t>的确定</w:t>
            </w:r>
            <w:r>
              <w:rPr>
                <w:rFonts w:hint="eastAsia"/>
                <w:sz w:val="21"/>
                <w:szCs w:val="21"/>
              </w:rPr>
              <w:t>及</w:t>
            </w:r>
            <w:r>
              <w:rPr>
                <w:sz w:val="21"/>
                <w:szCs w:val="21"/>
              </w:rPr>
              <w:t>其支持性证据。</w:t>
            </w:r>
          </w:p>
          <w:p>
            <w:pPr>
              <w:pStyle w:val="8"/>
              <w:keepNext w:val="0"/>
              <w:keepLines w:val="0"/>
              <w:pageBreakBefore w:val="0"/>
              <w:numPr>
                <w:ilvl w:val="0"/>
                <w:numId w:val="3"/>
              </w:numPr>
              <w:kinsoku/>
              <w:wordWrap/>
              <w:overflowPunct/>
              <w:topLinePunct w:val="0"/>
              <w:autoSpaceDE/>
              <w:autoSpaceDN/>
              <w:bidi w:val="0"/>
              <w:adjustRightInd/>
              <w:spacing w:line="300" w:lineRule="exact"/>
              <w:ind w:firstLineChars="0"/>
              <w:textAlignment w:val="auto"/>
              <w:rPr>
                <w:sz w:val="21"/>
                <w:szCs w:val="21"/>
                <w:shd w:val="pct10" w:color="auto" w:fill="FFFFFF"/>
              </w:rPr>
            </w:pPr>
            <w:r>
              <w:rPr>
                <w:rFonts w:hint="eastAsia"/>
                <w:sz w:val="21"/>
                <w:szCs w:val="21"/>
              </w:rPr>
              <w:t>了解员工的健康（证）的情况；</w:t>
            </w:r>
          </w:p>
          <w:p>
            <w:pPr>
              <w:pStyle w:val="8"/>
              <w:keepNext w:val="0"/>
              <w:keepLines w:val="0"/>
              <w:pageBreakBefore w:val="0"/>
              <w:numPr>
                <w:ilvl w:val="0"/>
                <w:numId w:val="3"/>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了解适用的食品安全法律（产品执行的标准或技术要求）和其他要求的获取、识别程序实施情况和合规性评价</w:t>
            </w:r>
          </w:p>
          <w:p>
            <w:pPr>
              <w:pStyle w:val="8"/>
              <w:keepNext w:val="0"/>
              <w:keepLines w:val="0"/>
              <w:pageBreakBefore w:val="0"/>
              <w:numPr>
                <w:ilvl w:val="0"/>
                <w:numId w:val="3"/>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控制措施的确认、活动的验证和改进方案符合食品安全管理体系标准的要求</w:t>
            </w:r>
            <w:r>
              <w:rPr>
                <w:sz w:val="21"/>
                <w:szCs w:val="21"/>
              </w:rPr>
              <w:t>;</w:t>
            </w:r>
          </w:p>
          <w:p>
            <w:pPr>
              <w:pStyle w:val="8"/>
              <w:keepNext w:val="0"/>
              <w:keepLines w:val="0"/>
              <w:pageBreakBefore w:val="0"/>
              <w:numPr>
                <w:ilvl w:val="0"/>
                <w:numId w:val="3"/>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食品安全管理体系的文件和安排适合内部沟通和与相关供应商、顾客、利益相关方的沟通</w:t>
            </w:r>
            <w:r>
              <w:rPr>
                <w:sz w:val="21"/>
                <w:szCs w:val="21"/>
              </w:rPr>
              <w:t>;</w:t>
            </w:r>
          </w:p>
          <w:p>
            <w:pPr>
              <w:pStyle w:val="8"/>
              <w:keepNext w:val="0"/>
              <w:keepLines w:val="0"/>
              <w:pageBreakBefore w:val="0"/>
              <w:numPr>
                <w:ilvl w:val="0"/>
                <w:numId w:val="3"/>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标识、追溯计划和产品召回/撤回</w:t>
            </w:r>
          </w:p>
          <w:p>
            <w:pPr>
              <w:pStyle w:val="8"/>
              <w:keepNext w:val="0"/>
              <w:keepLines w:val="0"/>
              <w:pageBreakBefore w:val="0"/>
              <w:numPr>
                <w:ilvl w:val="0"/>
                <w:numId w:val="3"/>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查看产品食品安全性检验的证据（报告）</w:t>
            </w:r>
          </w:p>
          <w:p>
            <w:pPr>
              <w:pStyle w:val="8"/>
              <w:keepNext w:val="0"/>
              <w:keepLines w:val="0"/>
              <w:pageBreakBefore w:val="0"/>
              <w:numPr>
                <w:ilvl w:val="0"/>
                <w:numId w:val="3"/>
              </w:numPr>
              <w:kinsoku/>
              <w:wordWrap/>
              <w:overflowPunct/>
              <w:topLinePunct w:val="0"/>
              <w:autoSpaceDE/>
              <w:autoSpaceDN/>
              <w:bidi w:val="0"/>
              <w:adjustRightInd/>
              <w:spacing w:line="300" w:lineRule="exact"/>
              <w:ind w:firstLineChars="0"/>
              <w:textAlignment w:val="auto"/>
              <w:rPr>
                <w:sz w:val="21"/>
                <w:szCs w:val="21"/>
              </w:rPr>
            </w:pPr>
            <w:r>
              <w:rPr>
                <w:rFonts w:hAnsi="方正仿宋简体"/>
                <w:sz w:val="21"/>
                <w:szCs w:val="21"/>
              </w:rPr>
              <w:t>充分识别委托加工等生产活动对食品安全的影响程度；</w:t>
            </w:r>
          </w:p>
          <w:p>
            <w:pPr>
              <w:pStyle w:val="8"/>
              <w:keepNext w:val="0"/>
              <w:keepLines w:val="0"/>
              <w:pageBreakBefore w:val="0"/>
              <w:numPr>
                <w:ilvl w:val="0"/>
                <w:numId w:val="3"/>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了解产品顾客投诉处理</w:t>
            </w:r>
          </w:p>
          <w:p>
            <w:pPr>
              <w:pStyle w:val="8"/>
              <w:keepNext w:val="0"/>
              <w:keepLines w:val="0"/>
              <w:pageBreakBefore w:val="0"/>
              <w:numPr>
                <w:ilvl w:val="0"/>
                <w:numId w:val="3"/>
              </w:numPr>
              <w:kinsoku/>
              <w:wordWrap/>
              <w:overflowPunct/>
              <w:topLinePunct w:val="0"/>
              <w:autoSpaceDE/>
              <w:autoSpaceDN/>
              <w:bidi w:val="0"/>
              <w:adjustRightInd/>
              <w:spacing w:line="300" w:lineRule="exact"/>
              <w:ind w:firstLineChars="0"/>
              <w:textAlignment w:val="auto"/>
              <w:rPr>
                <w:sz w:val="21"/>
                <w:szCs w:val="21"/>
              </w:rPr>
            </w:pPr>
            <w:r>
              <w:rPr>
                <w:rFonts w:hint="eastAsia"/>
                <w:sz w:val="21"/>
                <w:szCs w:val="21"/>
              </w:rPr>
              <w:t>了解</w:t>
            </w:r>
            <w:r>
              <w:rPr>
                <w:sz w:val="21"/>
                <w:szCs w:val="21"/>
              </w:rPr>
              <w:t>应急准备和响应情况</w:t>
            </w:r>
          </w:p>
        </w:tc>
        <w:tc>
          <w:tcPr>
            <w:tcW w:w="1196" w:type="dxa"/>
            <w:tcBorders>
              <w:right w:val="single" w:color="auto" w:sz="8" w:space="0"/>
            </w:tcBorders>
            <w:shd w:val="clear" w:color="auto" w:fill="FDE9D9" w:themeFill="accent6" w:themeFillTint="33"/>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b/>
                <w:sz w:val="21"/>
                <w:szCs w:val="21"/>
              </w:rPr>
            </w:pPr>
            <w:r>
              <w:rPr>
                <w:rFonts w:hint="eastAsia"/>
                <w:b/>
                <w:sz w:val="21"/>
                <w:szCs w:val="21"/>
              </w:rPr>
              <w:t>审核员</w:t>
            </w: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FDE9D9" w:themeFill="accent6" w:themeFillTint="33"/>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b/>
                <w:sz w:val="21"/>
                <w:szCs w:val="21"/>
              </w:rPr>
            </w:pPr>
          </w:p>
        </w:tc>
        <w:tc>
          <w:tcPr>
            <w:tcW w:w="1359" w:type="dxa"/>
            <w:shd w:val="clear" w:color="auto" w:fill="FDE9D9" w:themeFill="accent6" w:themeFillTint="33"/>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eastAsia="宋体"/>
                <w:b/>
                <w:sz w:val="21"/>
                <w:szCs w:val="21"/>
                <w:lang w:val="en-US" w:eastAsia="zh-CN"/>
              </w:rPr>
            </w:pPr>
            <w:r>
              <w:rPr>
                <w:rFonts w:hint="eastAsia"/>
                <w:b/>
                <w:sz w:val="21"/>
                <w:szCs w:val="21"/>
                <w:lang w:val="en-US" w:eastAsia="zh-CN"/>
              </w:rPr>
              <w:t>15:00-16:30</w:t>
            </w:r>
          </w:p>
        </w:tc>
        <w:tc>
          <w:tcPr>
            <w:tcW w:w="6811" w:type="dxa"/>
            <w:shd w:val="clear" w:color="auto" w:fill="FDE9D9" w:themeFill="accent6" w:themeFillTint="33"/>
            <w:vAlign w:val="center"/>
          </w:tcPr>
          <w:p>
            <w:pPr>
              <w:keepNext w:val="0"/>
              <w:keepLines w:val="0"/>
              <w:pageBreakBefore w:val="0"/>
              <w:kinsoku/>
              <w:wordWrap/>
              <w:overflowPunct/>
              <w:topLinePunct w:val="0"/>
              <w:autoSpaceDE/>
              <w:autoSpaceDN/>
              <w:bidi w:val="0"/>
              <w:adjustRightInd/>
              <w:spacing w:line="300" w:lineRule="exact"/>
              <w:jc w:val="left"/>
              <w:textAlignment w:val="auto"/>
              <w:rPr>
                <w:sz w:val="21"/>
                <w:szCs w:val="21"/>
                <w:shd w:val="pct10" w:color="auto" w:fill="FFFFFF"/>
              </w:rPr>
            </w:pPr>
            <w:r>
              <w:rPr>
                <w:rFonts w:hint="eastAsia"/>
                <w:sz w:val="21"/>
                <w:szCs w:val="21"/>
                <w:lang w:val="de-DE"/>
              </w:rPr>
              <w:t>□</w:t>
            </w:r>
            <w:r>
              <w:rPr>
                <w:rFonts w:hint="eastAsia"/>
                <w:sz w:val="21"/>
                <w:szCs w:val="21"/>
                <w:shd w:val="pct10" w:color="auto" w:fill="FFFFFF"/>
              </w:rPr>
              <w:t>FSMS</w:t>
            </w:r>
            <w:r>
              <w:rPr>
                <w:sz w:val="21"/>
                <w:szCs w:val="21"/>
                <w:shd w:val="pct10" w:color="auto" w:fill="FFFFFF"/>
              </w:rPr>
              <w:t>/</w:t>
            </w:r>
            <w:r>
              <w:rPr>
                <w:rFonts w:hint="eastAsia"/>
                <w:sz w:val="21"/>
                <w:szCs w:val="21"/>
                <w:lang w:val="de-DE"/>
              </w:rPr>
              <w:sym w:font="Wingdings 2" w:char="0052"/>
            </w:r>
            <w:r>
              <w:rPr>
                <w:sz w:val="21"/>
                <w:szCs w:val="21"/>
                <w:shd w:val="pct10" w:color="auto" w:fill="FFFFFF"/>
              </w:rPr>
              <w:t>HACCP</w:t>
            </w:r>
            <w:r>
              <w:rPr>
                <w:rFonts w:hint="eastAsia"/>
                <w:sz w:val="21"/>
                <w:szCs w:val="21"/>
                <w:shd w:val="pct10" w:color="auto" w:fill="FFFFFF"/>
              </w:rPr>
              <w:t>场所巡查</w:t>
            </w:r>
            <w:r>
              <w:rPr>
                <w:sz w:val="21"/>
                <w:szCs w:val="21"/>
                <w:shd w:val="pct10" w:color="auto" w:fill="FFFFFF"/>
              </w:rPr>
              <w:t>:</w:t>
            </w:r>
          </w:p>
          <w:p>
            <w:pPr>
              <w:keepNext w:val="0"/>
              <w:keepLines w:val="0"/>
              <w:pageBreakBefore w:val="0"/>
              <w:widowControl/>
              <w:numPr>
                <w:ilvl w:val="0"/>
                <w:numId w:val="2"/>
              </w:numPr>
              <w:kinsoku/>
              <w:wordWrap/>
              <w:overflowPunct/>
              <w:topLinePunct w:val="0"/>
              <w:autoSpaceDE/>
              <w:autoSpaceDN/>
              <w:bidi w:val="0"/>
              <w:adjustRightInd/>
              <w:spacing w:before="40" w:line="300" w:lineRule="exact"/>
              <w:jc w:val="left"/>
              <w:textAlignment w:val="auto"/>
              <w:rPr>
                <w:sz w:val="21"/>
                <w:szCs w:val="21"/>
              </w:rPr>
            </w:pPr>
            <w:r>
              <w:rPr>
                <w:rFonts w:hint="eastAsia"/>
                <w:sz w:val="21"/>
                <w:szCs w:val="21"/>
              </w:rPr>
              <w:t>巡视生产区域（厂区、车间、库房、实验室等）</w:t>
            </w:r>
          </w:p>
          <w:p>
            <w:pPr>
              <w:keepNext w:val="0"/>
              <w:keepLines w:val="0"/>
              <w:pageBreakBefore w:val="0"/>
              <w:widowControl/>
              <w:numPr>
                <w:ilvl w:val="0"/>
                <w:numId w:val="2"/>
              </w:numPr>
              <w:kinsoku/>
              <w:wordWrap/>
              <w:overflowPunct/>
              <w:topLinePunct w:val="0"/>
              <w:autoSpaceDE/>
              <w:autoSpaceDN/>
              <w:bidi w:val="0"/>
              <w:adjustRightInd/>
              <w:spacing w:before="40" w:line="300" w:lineRule="exact"/>
              <w:jc w:val="left"/>
              <w:textAlignment w:val="auto"/>
              <w:rPr>
                <w:sz w:val="21"/>
                <w:szCs w:val="21"/>
              </w:rPr>
            </w:pPr>
            <w:r>
              <w:rPr>
                <w:rFonts w:hint="eastAsia"/>
                <w:sz w:val="21"/>
                <w:szCs w:val="21"/>
              </w:rPr>
              <w:t>巡视动力设施和辅助设施（水源井、软化水间、锅炉房、高低压配电室、空压站、制冷站、食堂等）</w:t>
            </w:r>
            <w:r>
              <w:rPr>
                <w:rFonts w:hint="eastAsia"/>
                <w:sz w:val="21"/>
                <w:szCs w:val="21"/>
                <w:lang w:eastAsia="zh-CN"/>
              </w:rPr>
              <w:t>【</w:t>
            </w:r>
            <w:r>
              <w:rPr>
                <w:rFonts w:hint="eastAsia"/>
                <w:sz w:val="21"/>
                <w:szCs w:val="21"/>
                <w:lang w:val="en-US" w:eastAsia="zh-CN"/>
              </w:rPr>
              <w:t>适用时</w:t>
            </w:r>
            <w:r>
              <w:rPr>
                <w:rFonts w:hint="eastAsia"/>
                <w:sz w:val="21"/>
                <w:szCs w:val="21"/>
                <w:lang w:eastAsia="zh-CN"/>
              </w:rPr>
              <w:t>】</w:t>
            </w:r>
          </w:p>
          <w:p>
            <w:pPr>
              <w:keepNext w:val="0"/>
              <w:keepLines w:val="0"/>
              <w:pageBreakBefore w:val="0"/>
              <w:widowControl/>
              <w:numPr>
                <w:ilvl w:val="0"/>
                <w:numId w:val="2"/>
              </w:numPr>
              <w:kinsoku/>
              <w:wordWrap/>
              <w:overflowPunct/>
              <w:topLinePunct w:val="0"/>
              <w:autoSpaceDE/>
              <w:autoSpaceDN/>
              <w:bidi w:val="0"/>
              <w:adjustRightInd/>
              <w:spacing w:before="40" w:line="300" w:lineRule="exact"/>
              <w:jc w:val="left"/>
              <w:textAlignment w:val="auto"/>
              <w:rPr>
                <w:sz w:val="21"/>
                <w:szCs w:val="21"/>
              </w:rPr>
            </w:pPr>
            <w:r>
              <w:rPr>
                <w:rFonts w:hint="eastAsia"/>
                <w:sz w:val="21"/>
                <w:szCs w:val="21"/>
              </w:rPr>
              <w:t>确认生产/服务流程</w:t>
            </w:r>
          </w:p>
          <w:p>
            <w:pPr>
              <w:keepNext w:val="0"/>
              <w:keepLines w:val="0"/>
              <w:pageBreakBefore w:val="0"/>
              <w:widowControl/>
              <w:numPr>
                <w:ilvl w:val="0"/>
                <w:numId w:val="2"/>
              </w:numPr>
              <w:kinsoku/>
              <w:wordWrap/>
              <w:overflowPunct/>
              <w:topLinePunct w:val="0"/>
              <w:autoSpaceDE/>
              <w:autoSpaceDN/>
              <w:bidi w:val="0"/>
              <w:adjustRightInd/>
              <w:spacing w:before="40" w:line="300" w:lineRule="exact"/>
              <w:jc w:val="left"/>
              <w:textAlignment w:val="auto"/>
              <w:rPr>
                <w:sz w:val="21"/>
                <w:szCs w:val="21"/>
              </w:rPr>
            </w:pPr>
            <w:r>
              <w:rPr>
                <w:rFonts w:hint="eastAsia"/>
                <w:sz w:val="21"/>
                <w:szCs w:val="21"/>
              </w:rPr>
              <w:t>观察基础设施完好并运行（生产设备和员工设施等）</w:t>
            </w:r>
          </w:p>
          <w:p>
            <w:pPr>
              <w:keepNext w:val="0"/>
              <w:keepLines w:val="0"/>
              <w:pageBreakBefore w:val="0"/>
              <w:widowControl/>
              <w:numPr>
                <w:ilvl w:val="0"/>
                <w:numId w:val="2"/>
              </w:numPr>
              <w:kinsoku/>
              <w:wordWrap/>
              <w:overflowPunct/>
              <w:topLinePunct w:val="0"/>
              <w:autoSpaceDE/>
              <w:autoSpaceDN/>
              <w:bidi w:val="0"/>
              <w:adjustRightInd/>
              <w:spacing w:before="40" w:line="300" w:lineRule="exact"/>
              <w:jc w:val="left"/>
              <w:textAlignment w:val="auto"/>
              <w:rPr>
                <w:sz w:val="21"/>
                <w:szCs w:val="21"/>
              </w:rPr>
            </w:pPr>
            <w:r>
              <w:rPr>
                <w:rFonts w:hint="eastAsia"/>
                <w:sz w:val="21"/>
                <w:szCs w:val="21"/>
              </w:rPr>
              <w:t>观察食品安全相关的监视和测量设备的种类并了解检定/校准情况</w:t>
            </w:r>
          </w:p>
          <w:p>
            <w:pPr>
              <w:keepNext w:val="0"/>
              <w:keepLines w:val="0"/>
              <w:pageBreakBefore w:val="0"/>
              <w:widowControl/>
              <w:numPr>
                <w:ilvl w:val="0"/>
                <w:numId w:val="2"/>
              </w:numPr>
              <w:kinsoku/>
              <w:wordWrap/>
              <w:overflowPunct/>
              <w:topLinePunct w:val="0"/>
              <w:autoSpaceDE/>
              <w:autoSpaceDN/>
              <w:bidi w:val="0"/>
              <w:adjustRightInd/>
              <w:spacing w:before="40" w:line="300" w:lineRule="exact"/>
              <w:jc w:val="left"/>
              <w:textAlignment w:val="auto"/>
              <w:rPr>
                <w:sz w:val="21"/>
                <w:szCs w:val="21"/>
              </w:rPr>
            </w:pPr>
            <w:r>
              <w:rPr>
                <w:rFonts w:hint="eastAsia"/>
                <w:sz w:val="21"/>
                <w:szCs w:val="21"/>
              </w:rPr>
              <w:t>观察使用特种设备的种类并了解定期检测和备案登记情况</w:t>
            </w:r>
          </w:p>
          <w:p>
            <w:pPr>
              <w:keepNext w:val="0"/>
              <w:keepLines w:val="0"/>
              <w:pageBreakBefore w:val="0"/>
              <w:widowControl/>
              <w:numPr>
                <w:ilvl w:val="0"/>
                <w:numId w:val="2"/>
              </w:numPr>
              <w:kinsoku/>
              <w:wordWrap/>
              <w:overflowPunct/>
              <w:topLinePunct w:val="0"/>
              <w:autoSpaceDE/>
              <w:autoSpaceDN/>
              <w:bidi w:val="0"/>
              <w:adjustRightInd/>
              <w:spacing w:before="40" w:line="300" w:lineRule="exact"/>
              <w:jc w:val="left"/>
              <w:textAlignment w:val="auto"/>
              <w:rPr>
                <w:sz w:val="21"/>
                <w:szCs w:val="21"/>
              </w:rPr>
            </w:pPr>
            <w:r>
              <w:rPr>
                <w:rFonts w:hint="eastAsia"/>
                <w:sz w:val="21"/>
                <w:szCs w:val="21"/>
              </w:rPr>
              <w:t>观察工作环境（清洁、消毒、虫害防治等）</w:t>
            </w:r>
          </w:p>
          <w:p>
            <w:pPr>
              <w:keepNext w:val="0"/>
              <w:keepLines w:val="0"/>
              <w:pageBreakBefore w:val="0"/>
              <w:widowControl/>
              <w:numPr>
                <w:ilvl w:val="0"/>
                <w:numId w:val="2"/>
              </w:numPr>
              <w:kinsoku/>
              <w:wordWrap/>
              <w:overflowPunct/>
              <w:topLinePunct w:val="0"/>
              <w:autoSpaceDE/>
              <w:autoSpaceDN/>
              <w:bidi w:val="0"/>
              <w:adjustRightInd/>
              <w:spacing w:before="40" w:line="300" w:lineRule="exact"/>
              <w:jc w:val="left"/>
              <w:textAlignment w:val="auto"/>
              <w:rPr>
                <w:sz w:val="21"/>
                <w:szCs w:val="21"/>
              </w:rPr>
            </w:pPr>
          </w:p>
        </w:tc>
        <w:tc>
          <w:tcPr>
            <w:tcW w:w="1196" w:type="dxa"/>
            <w:tcBorders>
              <w:right w:val="single" w:color="auto" w:sz="8" w:space="0"/>
            </w:tcBorders>
            <w:shd w:val="clear" w:color="auto" w:fill="FDE9D9" w:themeFill="accent6" w:themeFillTint="33"/>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b/>
                <w:sz w:val="21"/>
                <w:szCs w:val="21"/>
              </w:rPr>
            </w:pPr>
            <w:r>
              <w:rPr>
                <w:rFonts w:hint="eastAsia"/>
                <w:b/>
                <w:sz w:val="21"/>
                <w:szCs w:val="21"/>
              </w:rPr>
              <w:t>审核员</w:t>
            </w: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011" w:type="dxa"/>
            <w:vMerge w:val="continue"/>
            <w:tcBorders>
              <w:lef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b/>
                <w:sz w:val="21"/>
                <w:szCs w:val="21"/>
              </w:rPr>
            </w:pPr>
          </w:p>
        </w:tc>
        <w:tc>
          <w:tcPr>
            <w:tcW w:w="1359" w:type="dxa"/>
            <w:shd w:val="clear" w:color="auto" w:fill="auto"/>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eastAsia="宋体"/>
                <w:b/>
                <w:sz w:val="21"/>
                <w:szCs w:val="21"/>
                <w:lang w:val="en-US" w:eastAsia="zh-CN"/>
              </w:rPr>
            </w:pPr>
            <w:r>
              <w:rPr>
                <w:rFonts w:hint="eastAsia"/>
                <w:b/>
                <w:sz w:val="21"/>
                <w:szCs w:val="21"/>
                <w:lang w:val="en-US" w:eastAsia="zh-CN"/>
              </w:rPr>
              <w:t>16:30-17:00</w:t>
            </w:r>
          </w:p>
        </w:tc>
        <w:tc>
          <w:tcPr>
            <w:tcW w:w="6811" w:type="dxa"/>
            <w:shd w:val="clear" w:color="auto" w:fill="auto"/>
            <w:vAlign w:val="center"/>
          </w:tcPr>
          <w:p>
            <w:pPr>
              <w:keepNext w:val="0"/>
              <w:keepLines w:val="0"/>
              <w:pageBreakBefore w:val="0"/>
              <w:widowControl/>
              <w:kinsoku/>
              <w:wordWrap/>
              <w:overflowPunct/>
              <w:topLinePunct w:val="0"/>
              <w:autoSpaceDE/>
              <w:autoSpaceDN/>
              <w:bidi w:val="0"/>
              <w:adjustRightInd/>
              <w:spacing w:before="40" w:line="300" w:lineRule="exact"/>
              <w:jc w:val="left"/>
              <w:textAlignment w:val="auto"/>
              <w:rPr>
                <w:sz w:val="21"/>
                <w:szCs w:val="21"/>
              </w:rPr>
            </w:pPr>
            <w:r>
              <w:rPr>
                <w:rFonts w:hint="eastAsia"/>
                <w:sz w:val="21"/>
                <w:szCs w:val="21"/>
              </w:rPr>
              <w:t>末次会议</w:t>
            </w:r>
          </w:p>
        </w:tc>
        <w:tc>
          <w:tcPr>
            <w:tcW w:w="1196" w:type="dxa"/>
            <w:tcBorders>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b/>
                <w:sz w:val="21"/>
                <w:szCs w:val="21"/>
              </w:rPr>
            </w:pPr>
            <w:r>
              <w:rPr>
                <w:rFonts w:hint="eastAsia"/>
                <w:b/>
                <w:sz w:val="21"/>
                <w:szCs w:val="21"/>
              </w:rPr>
              <w:t>审核员</w:t>
            </w:r>
            <w:r>
              <w:rPr>
                <w:rFonts w:hint="eastAsia"/>
                <w:b/>
                <w:sz w:val="21"/>
                <w:szCs w:val="21"/>
                <w:lang w:val="en-US" w:eastAsia="zh-CN"/>
              </w:rPr>
              <w:t>A</w:t>
            </w:r>
          </w:p>
        </w:tc>
      </w:tr>
    </w:tbl>
    <w:p>
      <w:pPr>
        <w:spacing w:line="300" w:lineRule="exact"/>
        <w:ind w:firstLine="4156" w:firstLineChars="2300"/>
        <w:rPr>
          <w:b/>
          <w:color w:val="000000"/>
          <w:sz w:val="18"/>
          <w:szCs w:val="18"/>
        </w:rPr>
      </w:pPr>
      <w:bookmarkStart w:id="31" w:name="_GoBack"/>
      <w:bookmarkEnd w:id="31"/>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26853BB0"/>
    <w:rsid w:val="2E057624"/>
    <w:rsid w:val="69FE73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3</TotalTime>
  <ScaleCrop>false</ScaleCrop>
  <LinksUpToDate>false</LinksUpToDate>
  <CharactersWithSpaces>3698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肖新龙</cp:lastModifiedBy>
  <cp:lastPrinted>2022-06-27T01:17:56Z</cp:lastPrinted>
  <dcterms:modified xsi:type="dcterms:W3CDTF">2022-06-27T01:37:37Z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2052-11.1.0.11830</vt:lpwstr>
  </property>
</Properties>
</file>