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eastAsia" w:eastAsia="华文细黑"/>
                <w:sz w:val="21"/>
                <w:szCs w:val="21"/>
                <w:lang w:val="en-US" w:eastAsia="zh-CN"/>
              </w:rPr>
            </w:pPr>
            <w:r>
              <w:rPr>
                <w:rFonts w:hint="eastAsia"/>
                <w:sz w:val="21"/>
                <w:szCs w:val="21"/>
              </w:rPr>
              <w:t>受审核部门：</w:t>
            </w:r>
            <w:r>
              <w:rPr>
                <w:rFonts w:hint="eastAsia"/>
                <w:sz w:val="21"/>
                <w:szCs w:val="21"/>
                <w:lang w:val="en-US" w:eastAsia="zh-CN"/>
              </w:rPr>
              <w:t xml:space="preserve">品质部 </w:t>
            </w:r>
            <w:r>
              <w:rPr>
                <w:rFonts w:hint="eastAsia"/>
                <w:sz w:val="21"/>
                <w:szCs w:val="21"/>
              </w:rPr>
              <w:t>主管领导：</w:t>
            </w:r>
            <w:r>
              <w:rPr>
                <w:rFonts w:hint="eastAsia"/>
                <w:sz w:val="21"/>
                <w:szCs w:val="21"/>
                <w:lang w:val="en-US" w:eastAsia="zh-CN"/>
              </w:rPr>
              <w:t>张宁飞；</w:t>
            </w:r>
            <w:r>
              <w:rPr>
                <w:rFonts w:hint="eastAsia"/>
                <w:sz w:val="21"/>
                <w:szCs w:val="21"/>
              </w:rPr>
              <w:t>陪同人员：</w:t>
            </w:r>
            <w:r>
              <w:rPr>
                <w:rFonts w:hint="eastAsia"/>
                <w:sz w:val="21"/>
                <w:szCs w:val="21"/>
                <w:lang w:val="en-US" w:eastAsia="zh-CN"/>
              </w:rPr>
              <w:t>卿培菊</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sz w:val="21"/>
                <w:szCs w:val="21"/>
              </w:rPr>
            </w:pPr>
            <w:r>
              <w:rPr>
                <w:rFonts w:hint="eastAsia"/>
                <w:sz w:val="21"/>
                <w:szCs w:val="21"/>
              </w:rPr>
              <w:t>审核员：</w:t>
            </w:r>
            <w:bookmarkStart w:id="0" w:name="审核组成员不含组长"/>
            <w:r>
              <w:rPr>
                <w:rFonts w:hint="eastAsia"/>
                <w:sz w:val="21"/>
                <w:szCs w:val="21"/>
                <w:lang w:val="en-US" w:eastAsia="zh-CN"/>
              </w:rPr>
              <w:t>王献华、</w:t>
            </w:r>
            <w:r>
              <w:rPr>
                <w:rFonts w:hint="eastAsia"/>
                <w:sz w:val="21"/>
                <w:szCs w:val="21"/>
              </w:rPr>
              <w:t>应红艳</w:t>
            </w:r>
            <w:bookmarkEnd w:id="0"/>
            <w:r>
              <w:rPr>
                <w:rFonts w:hint="eastAsia"/>
                <w:sz w:val="21"/>
                <w:szCs w:val="21"/>
                <w:lang w:eastAsia="zh-CN"/>
              </w:rPr>
              <w:t>；</w:t>
            </w:r>
            <w:r>
              <w:rPr>
                <w:rFonts w:hint="eastAsia"/>
                <w:sz w:val="21"/>
                <w:szCs w:val="21"/>
              </w:rPr>
              <w:t>审核时间：</w:t>
            </w:r>
            <w:bookmarkStart w:id="1" w:name="审核日期"/>
            <w:r>
              <w:rPr>
                <w:sz w:val="21"/>
                <w:szCs w:val="21"/>
              </w:rPr>
              <w:t>2022年06月23日 上午</w:t>
            </w:r>
            <w:bookmarkEnd w:id="1"/>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adjustRightInd w:val="0"/>
              <w:snapToGrid w:val="0"/>
              <w:spacing w:line="320" w:lineRule="exact"/>
              <w:ind w:right="105" w:rightChars="50"/>
              <w:jc w:val="left"/>
              <w:textAlignment w:val="baseline"/>
              <w:rPr>
                <w:rFonts w:hint="default" w:ascii="宋体" w:hAnsi="宋体" w:eastAsia="宋体" w:cs="Arial"/>
                <w:b w:val="0"/>
                <w:bCs w:val="0"/>
                <w:sz w:val="21"/>
                <w:szCs w:val="21"/>
                <w:highlight w:val="none"/>
                <w:lang w:val="en-US" w:eastAsia="zh-CN"/>
              </w:rPr>
            </w:pPr>
            <w:r>
              <w:rPr>
                <w:rFonts w:hint="eastAsia" w:ascii="宋体" w:hAnsi="宋体" w:eastAsia="宋体" w:cs="Arial"/>
                <w:b/>
                <w:bCs/>
                <w:sz w:val="21"/>
                <w:szCs w:val="21"/>
                <w:highlight w:val="none"/>
                <w:lang w:val="en-US" w:eastAsia="zh-CN"/>
              </w:rPr>
              <w:t>审核内容：</w:t>
            </w:r>
            <w:r>
              <w:rPr>
                <w:rFonts w:hint="eastAsia" w:ascii="宋体" w:hAnsi="宋体" w:eastAsia="宋体" w:cs="Arial"/>
                <w:b w:val="0"/>
                <w:bCs w:val="0"/>
                <w:sz w:val="21"/>
                <w:szCs w:val="21"/>
                <w:highlight w:val="none"/>
                <w:lang w:val="en-US" w:eastAsia="zh-CN"/>
              </w:rPr>
              <w:t>1.部门职责与权限；2.目标在职责范围内的分解落实情况；3.品质部作业准则及其运行记录总体情况；4.服务活动控制；5.服务交付以及不合格服务的纠正及其纠正措施。</w:t>
            </w:r>
          </w:p>
          <w:p>
            <w:pPr>
              <w:adjustRightInd w:val="0"/>
              <w:snapToGrid w:val="0"/>
              <w:spacing w:line="320" w:lineRule="exact"/>
              <w:ind w:right="105" w:rightChars="50"/>
              <w:jc w:val="left"/>
              <w:textAlignment w:val="baseline"/>
              <w:rPr>
                <w:rFonts w:hint="eastAsia" w:ascii="宋体" w:hAnsi="宋体" w:eastAsia="宋体" w:cs="Arial"/>
                <w:b/>
                <w:bCs/>
                <w:sz w:val="21"/>
                <w:szCs w:val="21"/>
                <w:highlight w:val="none"/>
                <w:lang w:val="en-US" w:eastAsia="zh-CN"/>
              </w:rPr>
            </w:pPr>
            <w:r>
              <w:rPr>
                <w:rFonts w:hint="eastAsia" w:ascii="宋体" w:hAnsi="宋体" w:eastAsia="宋体" w:cs="Arial"/>
                <w:b/>
                <w:bCs/>
                <w:sz w:val="21"/>
                <w:szCs w:val="21"/>
                <w:highlight w:val="none"/>
                <w:lang w:val="en-US" w:eastAsia="zh-CN"/>
              </w:rPr>
              <w:t>涉及条款：</w:t>
            </w:r>
          </w:p>
          <w:p>
            <w:pPr>
              <w:adjustRightInd w:val="0"/>
              <w:snapToGrid w:val="0"/>
              <w:spacing w:line="320" w:lineRule="exact"/>
              <w:ind w:right="105" w:rightChars="50"/>
              <w:jc w:val="left"/>
              <w:textAlignment w:val="baseline"/>
              <w:rPr>
                <w:rFonts w:hint="eastAsia" w:ascii="宋体" w:hAnsi="宋体" w:cs="Arial"/>
                <w:sz w:val="21"/>
                <w:szCs w:val="21"/>
                <w:highlight w:val="none"/>
              </w:rPr>
            </w:pPr>
            <w:r>
              <w:rPr>
                <w:rFonts w:hint="eastAsia" w:ascii="宋体" w:hAnsi="宋体" w:eastAsia="宋体" w:cs="Arial"/>
                <w:sz w:val="21"/>
                <w:szCs w:val="21"/>
                <w:highlight w:val="none"/>
              </w:rPr>
              <w:t>Q</w:t>
            </w:r>
            <w:r>
              <w:rPr>
                <w:rFonts w:hint="eastAsia" w:ascii="宋体" w:hAnsi="宋体" w:eastAsia="宋体" w:cs="Arial"/>
                <w:sz w:val="21"/>
                <w:szCs w:val="21"/>
                <w:highlight w:val="none"/>
                <w:lang w:val="en-US" w:eastAsia="zh-CN"/>
              </w:rPr>
              <w:t>EO</w:t>
            </w:r>
            <w:r>
              <w:rPr>
                <w:rFonts w:hint="eastAsia" w:ascii="宋体" w:hAnsi="宋体" w:eastAsia="宋体" w:cs="Arial"/>
                <w:sz w:val="21"/>
                <w:szCs w:val="21"/>
                <w:highlight w:val="none"/>
                <w:lang w:eastAsia="zh-CN"/>
              </w:rPr>
              <w:t>：</w:t>
            </w:r>
            <w:r>
              <w:rPr>
                <w:rFonts w:hint="eastAsia" w:ascii="宋体" w:hAnsi="宋体" w:eastAsia="宋体" w:cs="Arial"/>
                <w:sz w:val="21"/>
                <w:szCs w:val="21"/>
                <w:highlight w:val="none"/>
              </w:rPr>
              <w:t>5.3、6.2</w:t>
            </w:r>
          </w:p>
          <w:p>
            <w:pPr>
              <w:rPr>
                <w:sz w:val="21"/>
                <w:szCs w:val="21"/>
              </w:rPr>
            </w:pPr>
            <w:r>
              <w:rPr>
                <w:rFonts w:hint="eastAsia" w:ascii="宋体" w:hAnsi="宋体" w:cs="Arial"/>
                <w:color w:val="auto"/>
                <w:sz w:val="21"/>
                <w:szCs w:val="21"/>
                <w:highlight w:val="none"/>
                <w:lang w:val="en-US" w:eastAsia="zh-CN"/>
              </w:rPr>
              <w:t>Q：</w:t>
            </w:r>
            <w:r>
              <w:rPr>
                <w:rFonts w:hint="eastAsia" w:ascii="宋体" w:hAnsi="宋体" w:cs="Arial"/>
                <w:sz w:val="21"/>
                <w:szCs w:val="21"/>
                <w:highlight w:val="none"/>
              </w:rPr>
              <w:t>8.1</w:t>
            </w:r>
            <w:r>
              <w:rPr>
                <w:rFonts w:hint="eastAsia" w:ascii="宋体" w:hAnsi="宋体" w:cs="Arial"/>
                <w:sz w:val="21"/>
                <w:szCs w:val="21"/>
                <w:highlight w:val="none"/>
                <w:lang w:eastAsia="zh-CN"/>
              </w:rPr>
              <w:t>、</w:t>
            </w:r>
            <w:r>
              <w:rPr>
                <w:rFonts w:hint="eastAsia" w:ascii="宋体" w:hAnsi="宋体" w:cs="Arial"/>
                <w:color w:val="auto"/>
                <w:sz w:val="21"/>
                <w:szCs w:val="21"/>
                <w:highlight w:val="none"/>
                <w:lang w:val="en-US" w:eastAsia="zh-CN"/>
              </w:rPr>
              <w:t>8.5.1、</w:t>
            </w:r>
            <w:r>
              <w:rPr>
                <w:rFonts w:hint="eastAsia" w:ascii="宋体" w:hAnsi="宋体" w:eastAsia="宋体" w:cs="Arial"/>
                <w:sz w:val="21"/>
                <w:szCs w:val="21"/>
                <w:highlight w:val="none"/>
              </w:rPr>
              <w:t>8.6</w:t>
            </w:r>
            <w:r>
              <w:rPr>
                <w:rFonts w:hint="eastAsia" w:ascii="宋体" w:hAnsi="宋体" w:eastAsia="宋体" w:cs="Arial"/>
                <w:sz w:val="21"/>
                <w:szCs w:val="21"/>
                <w:highlight w:val="none"/>
                <w:lang w:val="en-US" w:eastAsia="zh-CN"/>
              </w:rPr>
              <w:t>/</w:t>
            </w:r>
            <w:r>
              <w:rPr>
                <w:rFonts w:hint="eastAsia" w:ascii="宋体" w:hAnsi="宋体" w:eastAsia="宋体" w:cs="Arial"/>
                <w:sz w:val="21"/>
                <w:szCs w:val="21"/>
                <w:highlight w:val="none"/>
              </w:rPr>
              <w:t>8.7</w:t>
            </w:r>
            <w:r>
              <w:rPr>
                <w:rFonts w:hint="eastAsia" w:ascii="宋体" w:hAnsi="宋体" w:eastAsia="宋体" w:cs="Arial"/>
                <w:sz w:val="21"/>
                <w:szCs w:val="21"/>
                <w:highlight w:val="none"/>
                <w:lang w:val="en-US" w:eastAsia="zh-CN"/>
              </w:rPr>
              <w:t>/10.2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华文细黑" w:hAnsi="华文细黑" w:eastAsia="华文细黑" w:cs="华文细黑"/>
                <w:lang w:val="en-US" w:eastAsia="zh-CN"/>
              </w:rPr>
            </w:pPr>
            <w:r>
              <w:rPr>
                <w:rFonts w:hint="eastAsia" w:ascii="宋体" w:hAnsi="宋体" w:eastAsia="宋体" w:cs="Arial"/>
                <w:b w:val="0"/>
                <w:bCs w:val="0"/>
                <w:sz w:val="21"/>
                <w:szCs w:val="21"/>
                <w:highlight w:val="none"/>
                <w:lang w:val="en-US" w:eastAsia="zh-CN"/>
              </w:rPr>
              <w:t>部门职责与权限</w:t>
            </w:r>
          </w:p>
        </w:tc>
        <w:tc>
          <w:tcPr>
            <w:tcW w:w="960" w:type="dxa"/>
          </w:tcPr>
          <w:p>
            <w:pPr>
              <w:rPr>
                <w:rFonts w:hint="default" w:ascii="华文细黑" w:hAnsi="华文细黑" w:eastAsia="华文细黑" w:cs="华文细黑"/>
                <w:lang w:val="en-US" w:eastAsia="zh-CN"/>
              </w:rPr>
            </w:pPr>
            <w:r>
              <w:rPr>
                <w:rFonts w:hint="eastAsia" w:ascii="华文细黑" w:hAnsi="华文细黑" w:eastAsia="华文细黑" w:cs="华文细黑"/>
                <w:lang w:val="en-US" w:eastAsia="zh-CN"/>
              </w:rPr>
              <w:t>QEO</w:t>
            </w:r>
            <w:r>
              <w:rPr>
                <w:rFonts w:hint="eastAsia" w:ascii="华文细黑" w:hAnsi="华文细黑" w:cs="华文细黑"/>
                <w:lang w:val="en-US" w:eastAsia="zh-CN"/>
              </w:rPr>
              <w:t>5.3</w:t>
            </w:r>
          </w:p>
        </w:tc>
        <w:tc>
          <w:tcPr>
            <w:tcW w:w="10004" w:type="dxa"/>
          </w:tcPr>
          <w:p>
            <w:pPr>
              <w:adjustRightInd w:val="0"/>
              <w:snapToGrid w:val="0"/>
              <w:spacing w:line="320" w:lineRule="exact"/>
              <w:ind w:right="105" w:rightChars="50" w:firstLine="420" w:firstLineChars="200"/>
              <w:jc w:val="left"/>
              <w:textAlignment w:val="baseline"/>
              <w:rPr>
                <w:rFonts w:hint="default"/>
                <w:lang w:val="en-US" w:eastAsia="zh-CN"/>
              </w:rPr>
            </w:pPr>
            <w:r>
              <w:rPr>
                <w:rFonts w:hint="eastAsia"/>
                <w:lang w:val="en-US" w:eastAsia="zh-CN"/>
              </w:rPr>
              <w:t>审核了解到，品质部在三体系中的工作职责如下：</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1.贯彻、落实公司质量方针，严把物业管理领域的各项质量关。</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2.严格按照公司领导安排的各项工作任务、会议决议事项的完成时间节点要求对公司所属各项目的工作质量进行检查、监督。</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3.严格按照公司各项管理制度、质量体系文件要求以及相关物业法律法规对公司所属各项目的管理质量进行检查、监督，及时发现不合格项目，分析原因，并提出纠正/改进建议。</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4.通过”业户意见箱”加强与业主的直线沟通，受理业主对物业管理工作不满意投诉，对所属各单位的服务质量进行检查、监督。</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5.负责对公司所属各单位的人、财、物方面进行专题检查，做出专题督查报告。</w:t>
            </w:r>
          </w:p>
          <w:p>
            <w:pPr>
              <w:adjustRightInd w:val="0"/>
              <w:snapToGrid w:val="0"/>
              <w:spacing w:line="320" w:lineRule="exact"/>
              <w:ind w:right="105" w:rightChars="50"/>
              <w:jc w:val="left"/>
              <w:textAlignment w:val="baseline"/>
              <w:rPr>
                <w:rFonts w:hint="eastAsia"/>
                <w:lang w:val="en-US" w:eastAsia="zh-CN"/>
              </w:rPr>
            </w:pPr>
            <w:r>
              <w:rPr>
                <w:rFonts w:hint="eastAsia"/>
                <w:lang w:val="en-US" w:eastAsia="zh-CN"/>
              </w:rPr>
              <w:t>定期对各项目的物业管理进行质量评估。 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6.做好各项目质量督查管理工作，及时掌握各类信息， 包括各项目的工作动向、业主的重大投诉、员工的思想动态、员工的工作氛围以及各类违章违纪等。 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7.每月对公司所属各项目进行考核，做出考核通报。 不定期对各项目网上业主论坛进行监控。 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8.负责文书档案和有关资料的存档、管理工作。  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9.负责公司项目的绿化、保洁服务的管理工作。</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10.及时完成公司领导交办各项工作任务。</w:t>
            </w:r>
          </w:p>
          <w:p>
            <w:pPr>
              <w:adjustRightInd w:val="0"/>
              <w:snapToGrid w:val="0"/>
              <w:spacing w:line="320" w:lineRule="exact"/>
              <w:ind w:right="105" w:rightChars="50"/>
              <w:jc w:val="left"/>
              <w:textAlignment w:val="baseline"/>
              <w:rPr>
                <w:rFonts w:hint="default"/>
                <w:lang w:val="en-US" w:eastAsia="zh-CN"/>
              </w:rPr>
            </w:pPr>
            <w:r>
              <w:rPr>
                <w:rFonts w:hint="eastAsia"/>
                <w:lang w:val="en-US" w:eastAsia="zh-CN"/>
              </w:rPr>
              <w:t xml:space="preserve">    从品质部</w:t>
            </w:r>
            <w:r>
              <w:rPr>
                <w:rFonts w:hint="eastAsia"/>
                <w:sz w:val="21"/>
                <w:szCs w:val="21"/>
                <w:lang w:val="en-US" w:eastAsia="zh-CN"/>
              </w:rPr>
              <w:t>卿培菊处了解到，其对职责内容基本清楚，与手册描述基本一致，符合要求。</w:t>
            </w:r>
          </w:p>
        </w:tc>
        <w:tc>
          <w:tcPr>
            <w:tcW w:w="1585" w:type="dxa"/>
          </w:tcPr>
          <w:p>
            <w:pPr>
              <w:rPr>
                <w:rFonts w:hint="eastAsia" w:eastAsia="华文细黑"/>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2160" w:type="dxa"/>
          </w:tcPr>
          <w:p>
            <w:pPr>
              <w:rPr>
                <w:rFonts w:hint="eastAsia" w:ascii="华文细黑" w:hAnsi="华文细黑" w:eastAsia="华文细黑" w:cs="华文细黑"/>
              </w:rPr>
            </w:pPr>
            <w:r>
              <w:rPr>
                <w:rFonts w:hint="eastAsia" w:ascii="宋体" w:hAnsi="宋体" w:eastAsia="宋体" w:cs="Arial"/>
                <w:b w:val="0"/>
                <w:bCs w:val="0"/>
                <w:sz w:val="21"/>
                <w:szCs w:val="21"/>
                <w:highlight w:val="none"/>
                <w:lang w:val="en-US" w:eastAsia="zh-CN"/>
              </w:rPr>
              <w:t>目标在职责范围内的分解落实情况</w:t>
            </w:r>
          </w:p>
        </w:tc>
        <w:tc>
          <w:tcPr>
            <w:tcW w:w="960" w:type="dxa"/>
          </w:tcPr>
          <w:p>
            <w:pPr>
              <w:rPr>
                <w:rFonts w:hint="default" w:ascii="华文细黑" w:hAnsi="华文细黑" w:eastAsia="华文细黑" w:cs="华文细黑"/>
                <w:lang w:val="en-US"/>
              </w:rPr>
            </w:pPr>
            <w:r>
              <w:rPr>
                <w:rFonts w:hint="eastAsia" w:ascii="华文细黑" w:hAnsi="华文细黑" w:eastAsia="华文细黑" w:cs="华文细黑"/>
                <w:lang w:val="en-US" w:eastAsia="zh-CN"/>
              </w:rPr>
              <w:t>QEO</w:t>
            </w:r>
            <w:r>
              <w:rPr>
                <w:rFonts w:hint="eastAsia" w:ascii="华文细黑" w:hAnsi="华文细黑" w:cs="华文细黑"/>
                <w:lang w:val="en-US" w:eastAsia="zh-CN"/>
              </w:rPr>
              <w:t>6.2</w:t>
            </w:r>
          </w:p>
        </w:tc>
        <w:tc>
          <w:tcPr>
            <w:tcW w:w="10004" w:type="dxa"/>
          </w:tcPr>
          <w:p>
            <w:pPr>
              <w:bidi w:val="0"/>
              <w:ind w:firstLine="420" w:firstLineChars="200"/>
              <w:rPr>
                <w:rFonts w:hint="default"/>
                <w:lang w:val="en-US" w:eastAsia="zh-CN"/>
              </w:rPr>
            </w:pPr>
            <w:r>
              <w:rPr>
                <w:rFonts w:hint="eastAsia"/>
                <w:lang w:val="en-US" w:eastAsia="zh-CN"/>
              </w:rPr>
              <w:t>审核发现，涉及品质部的QEO目标分解落实情况如下：</w:t>
            </w:r>
          </w:p>
          <w:p>
            <w:pPr>
              <w:bidi w:val="0"/>
              <w:ind w:firstLine="420" w:firstLineChars="200"/>
              <w:rPr>
                <w:rFonts w:hint="eastAsia"/>
                <w:lang w:val="en-US" w:eastAsia="zh-CN"/>
              </w:rPr>
            </w:pPr>
            <w:r>
              <w:rPr>
                <w:rFonts w:hint="eastAsia"/>
                <w:lang w:val="en-US" w:eastAsia="zh-CN"/>
              </w:rPr>
              <w:t>1.服务检查有效率100%；</w:t>
            </w:r>
          </w:p>
          <w:p>
            <w:pPr>
              <w:bidi w:val="0"/>
              <w:ind w:firstLine="420" w:firstLineChars="200"/>
              <w:rPr>
                <w:rFonts w:hint="eastAsia"/>
                <w:lang w:val="en-US" w:eastAsia="zh-CN"/>
              </w:rPr>
            </w:pPr>
            <w:r>
              <w:rPr>
                <w:rFonts w:hint="eastAsia"/>
                <w:lang w:val="en-US" w:eastAsia="zh-CN"/>
              </w:rPr>
              <w:t>2.固废分类处置率100%；</w:t>
            </w:r>
          </w:p>
          <w:p>
            <w:pPr>
              <w:bidi w:val="0"/>
              <w:ind w:firstLine="420" w:firstLineChars="200"/>
              <w:rPr>
                <w:rFonts w:hint="default"/>
                <w:lang w:val="en-US" w:eastAsia="zh-CN"/>
              </w:rPr>
            </w:pPr>
            <w:r>
              <w:rPr>
                <w:rFonts w:hint="eastAsia"/>
                <w:lang w:val="en-US" w:eastAsia="zh-CN"/>
              </w:rPr>
              <w:t>3.火灾事故发生率为零。</w:t>
            </w:r>
          </w:p>
          <w:p>
            <w:pPr>
              <w:bidi w:val="0"/>
              <w:ind w:firstLine="420" w:firstLineChars="200"/>
              <w:rPr>
                <w:rFonts w:hint="default"/>
                <w:lang w:val="en-US" w:eastAsia="zh-CN"/>
              </w:rPr>
            </w:pPr>
            <w:r>
              <w:rPr>
                <w:rFonts w:hint="eastAsia"/>
                <w:lang w:val="en-US" w:eastAsia="zh-CN"/>
              </w:rPr>
              <w:t>目标可测量，与组织方针一致。抽查2021年9-12月和2022年1-4月部门目标分解落实情况，均达成，基本符合监视要求。</w:t>
            </w:r>
          </w:p>
        </w:tc>
        <w:tc>
          <w:tcPr>
            <w:tcW w:w="1585" w:type="dxa"/>
          </w:tcPr>
          <w:p>
            <w:pPr>
              <w:rPr>
                <w:rFonts w:hint="eastAsia" w:eastAsia="华文细黑"/>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160" w:type="dxa"/>
          </w:tcPr>
          <w:p>
            <w:pPr>
              <w:rPr>
                <w:rFonts w:hint="default" w:ascii="华文细黑" w:hAnsi="华文细黑" w:eastAsia="华文细黑" w:cs="华文细黑"/>
                <w:lang w:val="en-US" w:eastAsia="zh-CN"/>
              </w:rPr>
            </w:pPr>
            <w:r>
              <w:rPr>
                <w:rFonts w:hint="eastAsia" w:ascii="华文细黑" w:hAnsi="华文细黑" w:cs="华文细黑"/>
                <w:lang w:val="en-US" w:eastAsia="zh-CN"/>
              </w:rPr>
              <w:t>活动准则及其运行控制总体情况</w:t>
            </w:r>
          </w:p>
        </w:tc>
        <w:tc>
          <w:tcPr>
            <w:tcW w:w="960" w:type="dxa"/>
          </w:tcPr>
          <w:p>
            <w:pPr>
              <w:rPr>
                <w:rFonts w:hint="eastAsia" w:ascii="华文细黑" w:hAnsi="华文细黑" w:eastAsia="华文细黑" w:cs="华文细黑"/>
                <w:lang w:val="en-US"/>
              </w:rPr>
            </w:pPr>
            <w:r>
              <w:rPr>
                <w:rFonts w:hint="eastAsia" w:ascii="华文细黑" w:hAnsi="华文细黑" w:eastAsia="华文细黑" w:cs="华文细黑"/>
                <w:lang w:val="en-US" w:eastAsia="zh-CN"/>
              </w:rPr>
              <w:t>Q</w:t>
            </w:r>
            <w:r>
              <w:rPr>
                <w:rFonts w:hint="eastAsia" w:ascii="宋体" w:hAnsi="宋体" w:cs="Arial"/>
                <w:sz w:val="21"/>
                <w:szCs w:val="21"/>
                <w:highlight w:val="none"/>
              </w:rPr>
              <w:t>8.1</w:t>
            </w:r>
          </w:p>
        </w:tc>
        <w:tc>
          <w:tcPr>
            <w:tcW w:w="10004" w:type="dxa"/>
          </w:tcPr>
          <w:p>
            <w:pPr>
              <w:ind w:firstLine="420" w:firstLineChars="200"/>
              <w:rPr>
                <w:rFonts w:hint="eastAsia" w:ascii="Times New Roman" w:hAnsi="Times New Roman"/>
                <w:lang w:val="en-US" w:eastAsia="zh-CN"/>
              </w:rPr>
            </w:pPr>
            <w:r>
              <w:rPr>
                <w:rFonts w:hint="eastAsia"/>
                <w:lang w:val="en-US" w:eastAsia="zh-CN"/>
              </w:rPr>
              <w:t>组织</w:t>
            </w:r>
            <w:r>
              <w:rPr>
                <w:rFonts w:hint="eastAsia" w:ascii="Times New Roman" w:hAnsi="Times New Roman"/>
                <w:lang w:val="en-US" w:eastAsia="zh-CN"/>
              </w:rPr>
              <w:t>编制了与质量管理体系运行控制有关的准则文件，包括《物业服务过程控制程序》、《项目管理控制程序》、《监视和测量控制程序》、《绩效考核手册》等，</w:t>
            </w:r>
            <w:r>
              <w:rPr>
                <w:rFonts w:hint="eastAsia"/>
                <w:lang w:val="en-US" w:eastAsia="zh-CN"/>
              </w:rPr>
              <w:t>还包括</w:t>
            </w:r>
            <w:r>
              <w:rPr>
                <w:rFonts w:hint="eastAsia" w:ascii="Times New Roman" w:hAnsi="Times New Roman"/>
                <w:lang w:val="en-US" w:eastAsia="zh-CN"/>
              </w:rPr>
              <w:t>针对各项目服务中心</w:t>
            </w:r>
            <w:r>
              <w:rPr>
                <w:rFonts w:hint="eastAsia"/>
                <w:lang w:val="en-US" w:eastAsia="zh-CN"/>
              </w:rPr>
              <w:t>管理考核的</w:t>
            </w:r>
            <w:r>
              <w:rPr>
                <w:rFonts w:hint="eastAsia" w:ascii="Times New Roman" w:hAnsi="Times New Roman"/>
                <w:lang w:val="en-US" w:eastAsia="zh-CN"/>
              </w:rPr>
              <w:t>《物业服务手册》、《家政保洁服务作业指导书》、《项目目标责任书》等，基本能够满足职责范围内过程的控制策划要求。</w:t>
            </w:r>
          </w:p>
          <w:p>
            <w:pPr>
              <w:ind w:firstLine="420" w:firstLineChars="200"/>
              <w:rPr>
                <w:rFonts w:hint="default" w:ascii="Times New Roman" w:hAnsi="Times New Roman"/>
                <w:lang w:val="en-US" w:eastAsia="zh-CN"/>
              </w:rPr>
            </w:pPr>
            <w:r>
              <w:rPr>
                <w:rFonts w:hint="eastAsia" w:ascii="Times New Roman" w:hAnsi="Times New Roman"/>
                <w:lang w:val="en-US" w:eastAsia="zh-CN"/>
              </w:rPr>
              <w:t>品质部根据自身职</w:t>
            </w:r>
            <w:r>
              <w:rPr>
                <w:rFonts w:hint="eastAsia"/>
                <w:lang w:val="en-US" w:eastAsia="zh-CN"/>
              </w:rPr>
              <w:t>制定了</w:t>
            </w:r>
            <w:r>
              <w:rPr>
                <w:rFonts w:hint="eastAsia" w:ascii="Times New Roman" w:hAnsi="Times New Roman"/>
                <w:lang w:val="en-US" w:eastAsia="zh-CN"/>
              </w:rPr>
              <w:t>《项目服务日常品质考核》、《项目服务年终品质考核》等</w:t>
            </w:r>
            <w:r>
              <w:rPr>
                <w:rFonts w:hint="eastAsia"/>
                <w:lang w:val="en-US" w:eastAsia="zh-CN"/>
              </w:rPr>
              <w:t>标准，形成了</w:t>
            </w:r>
            <w:r>
              <w:rPr>
                <w:rFonts w:hint="eastAsia" w:ascii="Times New Roman" w:hAnsi="Times New Roman"/>
                <w:lang w:val="en-US" w:eastAsia="zh-CN"/>
              </w:rPr>
              <w:t>《保洁服务检查报告》</w:t>
            </w:r>
            <w:r>
              <w:rPr>
                <w:rFonts w:hint="eastAsia"/>
                <w:lang w:val="en-US" w:eastAsia="zh-CN"/>
              </w:rPr>
              <w:t>、</w:t>
            </w:r>
            <w:r>
              <w:rPr>
                <w:rFonts w:hint="eastAsia" w:ascii="Times New Roman" w:hAnsi="Times New Roman"/>
                <w:lang w:val="en-US" w:eastAsia="zh-CN"/>
              </w:rPr>
              <w:t>《项目服务日常品质考核》</w:t>
            </w:r>
            <w:r>
              <w:rPr>
                <w:rFonts w:hint="eastAsia"/>
                <w:lang w:val="en-US" w:eastAsia="zh-CN"/>
              </w:rPr>
              <w:t>检查表、</w:t>
            </w:r>
            <w:r>
              <w:rPr>
                <w:rFonts w:hint="eastAsia" w:ascii="Times New Roman" w:hAnsi="Times New Roman"/>
                <w:lang w:val="en-US" w:eastAsia="zh-CN"/>
              </w:rPr>
              <w:t>《项目整改报告》</w:t>
            </w:r>
            <w:r>
              <w:rPr>
                <w:rFonts w:hint="eastAsia"/>
                <w:lang w:val="en-US" w:eastAsia="zh-CN"/>
              </w:rPr>
              <w:t>等</w:t>
            </w:r>
            <w:r>
              <w:rPr>
                <w:rFonts w:hint="eastAsia" w:ascii="Times New Roman" w:hAnsi="Times New Roman"/>
                <w:lang w:val="en-US" w:eastAsia="zh-CN"/>
              </w:rPr>
              <w:t>记录，基本能够按照上述准则要求实施</w:t>
            </w:r>
            <w:r>
              <w:rPr>
                <w:rFonts w:hint="eastAsia"/>
                <w:lang w:val="en-US" w:eastAsia="zh-CN"/>
              </w:rPr>
              <w:t>职责</w:t>
            </w:r>
            <w:r>
              <w:rPr>
                <w:rFonts w:hint="eastAsia" w:ascii="Times New Roman" w:hAnsi="Times New Roman"/>
                <w:lang w:val="en-US" w:eastAsia="zh-CN"/>
              </w:rPr>
              <w:t>过程，符合要求。</w:t>
            </w:r>
            <w:bookmarkStart w:id="2" w:name="_GoBack"/>
            <w:bookmarkEnd w:id="2"/>
          </w:p>
        </w:tc>
        <w:tc>
          <w:tcPr>
            <w:tcW w:w="1585" w:type="dxa"/>
          </w:tcPr>
          <w:p>
            <w:pPr>
              <w:rPr>
                <w:rFonts w:hint="eastAsia" w:eastAsia="华文细黑"/>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Pr>
          <w:p>
            <w:pPr>
              <w:rPr>
                <w:rFonts w:hint="default" w:ascii="华文细黑" w:hAnsi="华文细黑" w:eastAsia="华文细黑" w:cs="华文细黑"/>
                <w:spacing w:val="-6"/>
                <w:sz w:val="21"/>
                <w:szCs w:val="21"/>
                <w:highlight w:val="none"/>
                <w:lang w:val="en-US" w:eastAsia="zh-CN"/>
              </w:rPr>
            </w:pPr>
            <w:r>
              <w:rPr>
                <w:rFonts w:hint="eastAsia" w:ascii="华文细黑" w:hAnsi="华文细黑" w:cs="华文细黑"/>
                <w:spacing w:val="-6"/>
                <w:sz w:val="21"/>
                <w:szCs w:val="21"/>
                <w:highlight w:val="none"/>
                <w:lang w:val="en-US" w:eastAsia="zh-CN"/>
              </w:rPr>
              <w:t>具体过程运行控制情况</w:t>
            </w:r>
          </w:p>
        </w:tc>
        <w:tc>
          <w:tcPr>
            <w:tcW w:w="960" w:type="dxa"/>
          </w:tcPr>
          <w:p>
            <w:pPr>
              <w:rPr>
                <w:rFonts w:hint="default" w:ascii="华文细黑" w:hAnsi="华文细黑" w:eastAsia="华文细黑" w:cs="华文细黑"/>
                <w:lang w:val="en-US" w:eastAsia="zh-CN"/>
              </w:rPr>
            </w:pPr>
            <w:r>
              <w:rPr>
                <w:rFonts w:hint="eastAsia" w:ascii="华文细黑" w:hAnsi="华文细黑" w:eastAsia="华文细黑" w:cs="华文细黑"/>
                <w:lang w:val="en-US" w:eastAsia="zh-CN"/>
              </w:rPr>
              <w:t>Q</w:t>
            </w:r>
            <w:r>
              <w:rPr>
                <w:rFonts w:hint="eastAsia" w:ascii="华文细黑" w:hAnsi="华文细黑" w:cs="华文细黑"/>
                <w:lang w:val="en-US" w:eastAsia="zh-CN"/>
              </w:rPr>
              <w:t>8.5.1</w:t>
            </w:r>
          </w:p>
        </w:tc>
        <w:tc>
          <w:tcPr>
            <w:tcW w:w="10004" w:type="dxa"/>
          </w:tcPr>
          <w:p>
            <w:pPr>
              <w:ind w:firstLine="420" w:firstLineChars="200"/>
              <w:rPr>
                <w:rFonts w:hint="eastAsia"/>
                <w:lang w:val="en-US" w:eastAsia="zh-CN"/>
              </w:rPr>
            </w:pPr>
            <w:r>
              <w:rPr>
                <w:rFonts w:hint="eastAsia"/>
                <w:lang w:val="en-US" w:eastAsia="zh-CN"/>
              </w:rPr>
              <w:t>品质部配备人员3名，其中环境管理1人，内勤1人，人员配置及其能力基本能满足岗位要求。品质部负责人张宁飞表示，品质部工作内容除品质考核外，还负责各项目服务中心的保洁服务管理，包括人员配置、服务质量检查等。其中品质考核为品质部主要的监视和测量方式。</w:t>
            </w:r>
          </w:p>
          <w:p>
            <w:pPr>
              <w:ind w:firstLine="420" w:firstLineChars="200"/>
              <w:rPr>
                <w:rFonts w:hint="eastAsia"/>
                <w:lang w:val="en-US" w:eastAsia="zh-CN"/>
              </w:rPr>
            </w:pPr>
            <w:r>
              <w:rPr>
                <w:rFonts w:hint="eastAsia"/>
                <w:lang w:val="en-US" w:eastAsia="zh-CN"/>
              </w:rPr>
              <w:t>品质部根据Q8.1准则文件，在日常监视和测量工作中形成了一系列记录文件：</w:t>
            </w:r>
          </w:p>
          <w:p>
            <w:pPr>
              <w:ind w:firstLine="420" w:firstLineChars="200"/>
              <w:rPr>
                <w:rFonts w:hint="eastAsia"/>
                <w:lang w:val="en-US" w:eastAsia="zh-CN"/>
              </w:rPr>
            </w:pPr>
            <w:r>
              <w:rPr>
                <w:rFonts w:hint="eastAsia"/>
                <w:lang w:val="en-US" w:eastAsia="zh-CN"/>
              </w:rPr>
              <w:t>抽查2022.4.24海潮雅园一园的《服务项目日常品质考核》检查表：检查内容覆盖物业服务中心台账管理、秩序维护、工程维修、保洁绿化等指标，各级指标按照考核服务内容和质量标准进行评价打分，并在此基础上形成品《品质检查报告》；此次考核评分94（满分100）；考核人：卿培菊；负责人签收：</w:t>
            </w:r>
            <w:r>
              <w:rPr>
                <w:rFonts w:hint="eastAsia"/>
              </w:rPr>
              <w:t>劳建芬</w:t>
            </w:r>
            <w:r>
              <w:rPr>
                <w:rFonts w:hint="eastAsia"/>
                <w:lang w:eastAsia="zh-CN"/>
              </w:rPr>
              <w:t>；</w:t>
            </w:r>
            <w:r>
              <w:rPr>
                <w:rFonts w:hint="eastAsia"/>
                <w:lang w:val="en-US" w:eastAsia="zh-CN"/>
              </w:rPr>
              <w:t>日期：20222.4.24。抽查20222.4.25海潮雅园一园的《品质检查报告》（季度检查）：提出台账缺少、垃圾杂物等问题15项，整改及后续管理预防措施见《项目整改报告》。抽查2022.5.30的《海潮雅园一园保洁服务检查报告》（突击抽查）：针对该项目楼道、电梯、地下室、室外等区域卫生进行检查，提出2点整改要求，整改及后续管理预防措施见2022.6.4《项目整改报告》。</w:t>
            </w:r>
          </w:p>
          <w:p>
            <w:pPr>
              <w:ind w:firstLine="420" w:firstLineChars="200"/>
              <w:rPr>
                <w:rFonts w:hint="default"/>
                <w:lang w:val="en-US" w:eastAsia="zh-CN"/>
              </w:rPr>
            </w:pPr>
            <w:r>
              <w:rPr>
                <w:rFonts w:hint="eastAsia"/>
                <w:lang w:val="en-US" w:eastAsia="zh-CN"/>
              </w:rPr>
              <w:t>抽查2022.2.24婺江三园的《服务项目日常品质考核》检查表：检查内容覆盖物业服务中心台账管理、秩序维护、工程维修、保洁绿化等指标，各级指标按照考核服务内容和质量标准进行评价打分，并在此基础上形成品《品质检查报告》；此次考核评分87.1（满分100）；考核人：卿培菊；负责人签收</w:t>
            </w:r>
            <w:r>
              <w:rPr>
                <w:rFonts w:hint="eastAsia"/>
                <w:color w:val="auto"/>
                <w:shd w:val="clear" w:color="auto" w:fill="auto"/>
                <w:lang w:val="en-US" w:eastAsia="zh-CN"/>
              </w:rPr>
              <w:t>：</w:t>
            </w:r>
            <w:r>
              <w:rPr>
                <w:rFonts w:hint="eastAsia"/>
                <w:color w:val="auto"/>
                <w:shd w:val="clear" w:color="auto" w:fill="auto"/>
              </w:rPr>
              <w:t>豆风雷</w:t>
            </w:r>
            <w:r>
              <w:rPr>
                <w:rFonts w:hint="eastAsia"/>
                <w:color w:val="auto"/>
                <w:shd w:val="clear" w:color="auto" w:fill="auto"/>
                <w:lang w:eastAsia="zh-CN"/>
              </w:rPr>
              <w:t>；</w:t>
            </w:r>
            <w:r>
              <w:rPr>
                <w:rFonts w:hint="eastAsia"/>
                <w:color w:val="auto"/>
                <w:shd w:val="clear" w:color="auto" w:fill="auto"/>
                <w:lang w:val="en-US" w:eastAsia="zh-CN"/>
              </w:rPr>
              <w:t>日</w:t>
            </w:r>
            <w:r>
              <w:rPr>
                <w:rFonts w:hint="eastAsia"/>
                <w:lang w:val="en-US" w:eastAsia="zh-CN"/>
              </w:rPr>
              <w:t>期：20222.2.24。抽查20222.4.25海潮雅园一园的《品质检查报告》（季度检查）：提出公共设施积灰、杂物堆积等问题6项，整改及后续管理预防措施见《项目整改报告》。抽查2022.6.1的《婺江三园保洁服务检查报告》（突击抽查）：针对该项目楼道、电梯、地下室、室外等区域卫生进行检查，提出2点整改要求；整改及后续管理预防措施见2022.6.10《项目整改报告》。</w:t>
            </w:r>
          </w:p>
        </w:tc>
        <w:tc>
          <w:tcPr>
            <w:tcW w:w="1585" w:type="dxa"/>
          </w:tcPr>
          <w:p>
            <w:pPr>
              <w:rPr>
                <w:rFonts w:hint="eastAsia" w:eastAsia="华文细黑"/>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ascii="华文细黑" w:hAnsi="华文细黑" w:eastAsia="华文细黑" w:cs="华文细黑"/>
                <w:spacing w:val="-6"/>
                <w:sz w:val="21"/>
                <w:szCs w:val="21"/>
                <w:highlight w:val="none"/>
                <w:lang w:val="en-US" w:eastAsia="zh-CN"/>
              </w:rPr>
            </w:pPr>
            <w:r>
              <w:rPr>
                <w:rFonts w:hint="eastAsia" w:ascii="华文细黑" w:hAnsi="华文细黑" w:cs="华文细黑"/>
                <w:spacing w:val="-6"/>
                <w:sz w:val="21"/>
                <w:szCs w:val="21"/>
                <w:highlight w:val="none"/>
                <w:lang w:val="en-US" w:eastAsia="zh-CN"/>
              </w:rPr>
              <w:t>服务交付以及不合格的纠正和纠正措施</w:t>
            </w:r>
          </w:p>
        </w:tc>
        <w:tc>
          <w:tcPr>
            <w:tcW w:w="960" w:type="dxa"/>
          </w:tcPr>
          <w:p>
            <w:pPr>
              <w:rPr>
                <w:rFonts w:hint="default" w:ascii="华文细黑" w:hAnsi="华文细黑" w:eastAsia="华文细黑" w:cs="华文细黑"/>
                <w:lang w:val="en-US" w:eastAsia="zh-CN"/>
              </w:rPr>
            </w:pPr>
            <w:r>
              <w:rPr>
                <w:rFonts w:hint="eastAsia" w:ascii="华文细黑" w:hAnsi="华文细黑" w:eastAsia="华文细黑" w:cs="华文细黑"/>
                <w:spacing w:val="-6"/>
                <w:sz w:val="21"/>
                <w:szCs w:val="21"/>
                <w:highlight w:val="none"/>
                <w:lang w:val="en-US" w:eastAsia="zh-CN"/>
              </w:rPr>
              <w:t>Q</w:t>
            </w:r>
            <w:r>
              <w:rPr>
                <w:rFonts w:hint="eastAsia" w:ascii="华文细黑" w:hAnsi="华文细黑" w:cs="华文细黑"/>
                <w:spacing w:val="-6"/>
                <w:sz w:val="21"/>
                <w:szCs w:val="21"/>
                <w:highlight w:val="none"/>
                <w:lang w:val="en-US" w:eastAsia="zh-CN"/>
              </w:rPr>
              <w:t>8.6/8.7/10.2</w:t>
            </w:r>
          </w:p>
        </w:tc>
        <w:tc>
          <w:tcPr>
            <w:tcW w:w="10004" w:type="dxa"/>
          </w:tcPr>
          <w:p>
            <w:pPr>
              <w:spacing w:line="280" w:lineRule="exact"/>
              <w:ind w:firstLine="420" w:firstLineChars="200"/>
              <w:rPr>
                <w:rFonts w:hint="default" w:ascii="宋体" w:hAnsi="宋体" w:eastAsia="华文细黑" w:cs="宋体"/>
                <w:szCs w:val="21"/>
                <w:lang w:val="en-US" w:eastAsia="zh-CN"/>
              </w:rPr>
            </w:pPr>
            <w:r>
              <w:rPr>
                <w:rFonts w:hint="eastAsia" w:ascii="宋体" w:hAnsi="宋体" w:cs="宋体"/>
                <w:szCs w:val="21"/>
                <w:lang w:val="en-US" w:eastAsia="zh-CN"/>
              </w:rPr>
              <w:t>品质部</w:t>
            </w:r>
            <w:r>
              <w:rPr>
                <w:rFonts w:hint="eastAsia" w:ascii="宋体" w:hAnsi="宋体" w:cs="宋体"/>
                <w:szCs w:val="21"/>
              </w:rPr>
              <w:t>主要通过日常检查、不定期抽查等方式，对</w:t>
            </w:r>
            <w:r>
              <w:rPr>
                <w:rFonts w:hint="eastAsia" w:ascii="宋体" w:hAnsi="宋体" w:cs="宋体"/>
                <w:szCs w:val="21"/>
                <w:lang w:val="en-US" w:eastAsia="zh-CN"/>
              </w:rPr>
              <w:t>公司物业</w:t>
            </w:r>
            <w:r>
              <w:rPr>
                <w:rFonts w:hint="eastAsia" w:ascii="宋体" w:hAnsi="宋体" w:cs="宋体"/>
                <w:szCs w:val="21"/>
              </w:rPr>
              <w:t>服务提供过程进行检查和监督</w:t>
            </w:r>
            <w:r>
              <w:rPr>
                <w:rFonts w:hint="eastAsia" w:ascii="宋体" w:hAnsi="宋体" w:cs="宋体"/>
                <w:szCs w:val="21"/>
                <w:lang w:eastAsia="zh-CN"/>
              </w:rPr>
              <w:t>，</w:t>
            </w:r>
            <w:r>
              <w:rPr>
                <w:rFonts w:hint="eastAsia" w:ascii="宋体" w:hAnsi="宋体" w:cs="宋体"/>
                <w:szCs w:val="21"/>
                <w:lang w:val="en-US" w:eastAsia="zh-CN"/>
              </w:rPr>
              <w:t>以确保服务提供符合顾客的要求</w:t>
            </w:r>
            <w:r>
              <w:rPr>
                <w:rFonts w:hint="eastAsia" w:ascii="宋体" w:hAnsi="宋体" w:cs="宋体"/>
                <w:szCs w:val="21"/>
              </w:rPr>
              <w:t>。</w:t>
            </w:r>
            <w:r>
              <w:rPr>
                <w:rFonts w:hint="eastAsia" w:ascii="宋体" w:hAnsi="宋体" w:cs="宋体"/>
                <w:szCs w:val="21"/>
                <w:lang w:val="en-US" w:eastAsia="zh-CN"/>
              </w:rPr>
              <w:t>针对发现的不合格服务，组织在通过检查报告的形式提出整改的基础上，要求提出后续预防措施。</w:t>
            </w:r>
          </w:p>
          <w:p>
            <w:pPr>
              <w:ind w:firstLine="420" w:firstLineChars="200"/>
              <w:rPr>
                <w:rFonts w:hint="eastAsia" w:ascii="Times New Roman" w:hAnsi="Times New Roman"/>
                <w:lang w:val="en-US" w:eastAsia="zh-CN"/>
              </w:rPr>
            </w:pPr>
            <w:r>
              <w:rPr>
                <w:rFonts w:hint="eastAsia" w:ascii="Times New Roman" w:hAnsi="Times New Roman"/>
                <w:lang w:val="en-US" w:eastAsia="zh-CN"/>
              </w:rPr>
              <w:t>抽查20222.4.25海潮雅园一园的《品质检查报告》（季度检查）：提出台账缺少、垃圾杂物等问题15项、整改要求2项；查2022.4.30《项目整改报告》：报告内容显示，项目服务中心针对检查发现的问题一一整改，附整改前后对比照片，并针对保洁、工程、秩序等问题提出项目管理预防措施，符合纠正及纠正措施的要求。</w:t>
            </w:r>
          </w:p>
          <w:p>
            <w:pPr>
              <w:ind w:firstLine="420" w:firstLineChars="200"/>
              <w:rPr>
                <w:rFonts w:hint="eastAsia" w:ascii="Times New Roman" w:hAnsi="Times New Roman"/>
                <w:lang w:val="en-US" w:eastAsia="zh-CN"/>
              </w:rPr>
            </w:pPr>
            <w:r>
              <w:rPr>
                <w:rFonts w:hint="eastAsia" w:ascii="Times New Roman" w:hAnsi="Times New Roman"/>
                <w:lang w:val="en-US" w:eastAsia="zh-CN"/>
              </w:rPr>
              <w:t>抽查2022.5.30的《海潮雅园一园保洁服务检查报告》（突击抽查）：针对该项目楼道、电梯、地下室、室外等区域卫生进行检查，提出2点整改措施；查2022.6.4《项目整改报告》：项目服务中心针对检查发现的问题一一整改，附整改前后对比照片，并针对保洁问题提出项目管理预防措施：1.督促保洁主管加强检查园区绿化带、楼道、地下车库、电瓶车库等环境卫生工作并做好相关记录；2.请公司品质部对保洁公司员工进行现场培训工作。查2022.6.10的保洁培训签到表，培训结合检查发现的问题，针对岗位作业流程、作业标准、电梯的清洁与保养、保洁应急和利益等作了相应内容的培训。签到表显示，保洁服务人员、项目部管理人员等均参加了会议。</w:t>
            </w:r>
          </w:p>
          <w:p>
            <w:pPr>
              <w:bidi w:val="0"/>
              <w:ind w:firstLine="420" w:firstLineChars="200"/>
              <w:rPr>
                <w:rFonts w:hint="eastAsia"/>
                <w:lang w:val="en-US" w:eastAsia="zh-CN"/>
              </w:rPr>
            </w:pPr>
            <w:r>
              <w:rPr>
                <w:rFonts w:hint="eastAsia"/>
                <w:lang w:val="en-US" w:eastAsia="zh-CN"/>
              </w:rPr>
              <w:t>抽查20222.4.25海潮雅园一园的《品质检查报告》（季度检查）：提出公共设施积灰、杂物堆积等问题6项；查2022.4.27《项目整改报告》：</w:t>
            </w:r>
            <w:r>
              <w:rPr>
                <w:rFonts w:hint="eastAsia" w:ascii="Times New Roman" w:hAnsi="Times New Roman"/>
                <w:lang w:val="en-US" w:eastAsia="zh-CN"/>
              </w:rPr>
              <w:t>项目服务中心针对检查发现的问题一一整改，附整改前后对比照片，并针对保洁问题提出项目管理预防措施：1.对阵上述问题，项目将加强管理并做好日常巡查工作；2.加强员工职业素质训练的基础上，加强思想教育、保密意识，提高为业主服务的意识，提升物业的形象。</w:t>
            </w:r>
            <w:r>
              <w:rPr>
                <w:rFonts w:hint="eastAsia"/>
                <w:lang w:val="en-US" w:eastAsia="zh-CN"/>
              </w:rPr>
              <w:t>抽查2022.6.1的《婺江三园保洁服务检查报告》（突击抽查）：针对该项目楼道、电梯、地下室、室外等区域卫生进行检查，提出2点整改要求；查2022.6.10《项目整改报告》：</w:t>
            </w:r>
            <w:r>
              <w:rPr>
                <w:rFonts w:hint="eastAsia" w:ascii="Times New Roman" w:hAnsi="Times New Roman"/>
                <w:lang w:val="en-US" w:eastAsia="zh-CN"/>
              </w:rPr>
              <w:t>项目服务中心针对检查发现的问题一一整改，附整改前后对比照片，并针对保洁问题提出项目管理预防措施：1.日巡查工作中发现的现场问题及时上报并整改；2.针对个别待解决问题做好与相关单位沟通跟进工作；3.加强外包人员培训，强化工作管理制度，个别问题落实责任到人制。</w:t>
            </w:r>
          </w:p>
          <w:p>
            <w:pPr>
              <w:ind w:firstLine="420" w:firstLineChars="200"/>
            </w:pPr>
            <w:r>
              <w:rPr>
                <w:rFonts w:hint="eastAsia" w:ascii="Times New Roman" w:hAnsi="Times New Roman"/>
                <w:lang w:val="en-US" w:eastAsia="zh-CN"/>
              </w:rPr>
              <w:t>综上，基本符合纠正及纠正措施的要求。</w:t>
            </w:r>
          </w:p>
        </w:tc>
        <w:tc>
          <w:tcPr>
            <w:tcW w:w="1585" w:type="dxa"/>
          </w:tcPr>
          <w:p>
            <w:pPr>
              <w:rPr>
                <w:rFonts w:hint="eastAsia" w:eastAsia="华文细黑"/>
                <w:lang w:val="en-US" w:eastAsia="zh-CN"/>
              </w:rPr>
            </w:pPr>
            <w:r>
              <w:rPr>
                <w:rFonts w:hint="eastAsia"/>
                <w:b/>
                <w:bCs/>
                <w:lang w:val="en-US" w:eastAsia="zh-CN"/>
              </w:rPr>
              <w:t>Y</w:t>
            </w:r>
          </w:p>
        </w:tc>
      </w:tr>
    </w:tbl>
    <w:p>
      <w:r>
        <w:ptab w:relativeTo="margin" w:alignment="center" w:leader="none"/>
      </w:r>
    </w:p>
    <w:p>
      <w:pPr>
        <w:pStyle w:val="4"/>
      </w:pPr>
      <w:r>
        <w:rPr>
          <w:rFonts w:hint="eastAsia"/>
          <w:lang w:val="en-US" w:eastAsia="zh-CN"/>
        </w:rPr>
        <w:t>说</w:t>
      </w:r>
      <w:r>
        <w:rPr>
          <w:rFonts w:hint="eastAsia"/>
        </w:rPr>
        <w:t>明：</w:t>
      </w:r>
      <w:r>
        <w:rPr>
          <w:rFonts w:hint="eastAsia"/>
          <w:lang w:val="en-US" w:eastAsia="zh-CN"/>
        </w:rPr>
        <w:t>符合标注Y，</w:t>
      </w:r>
      <w:r>
        <w:rPr>
          <w:rFonts w:hint="eastAsia"/>
        </w:rPr>
        <w:t>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xNmFjM2JiM2E0NTA2NDBlNDc5ZjJlODAzODVlOTAifQ=="/>
  </w:docVars>
  <w:rsids>
    <w:rsidRoot w:val="00000000"/>
    <w:rsid w:val="00052CD3"/>
    <w:rsid w:val="003F5DF5"/>
    <w:rsid w:val="03732BA6"/>
    <w:rsid w:val="047168CE"/>
    <w:rsid w:val="08DF02AB"/>
    <w:rsid w:val="094D790A"/>
    <w:rsid w:val="098D7D07"/>
    <w:rsid w:val="0AB85257"/>
    <w:rsid w:val="0ADD081A"/>
    <w:rsid w:val="0BEB51B8"/>
    <w:rsid w:val="0CC36B31"/>
    <w:rsid w:val="0D305579"/>
    <w:rsid w:val="0E652AC5"/>
    <w:rsid w:val="0F5B408E"/>
    <w:rsid w:val="10103CDE"/>
    <w:rsid w:val="10D47789"/>
    <w:rsid w:val="12B427A8"/>
    <w:rsid w:val="12B55819"/>
    <w:rsid w:val="14910533"/>
    <w:rsid w:val="15B23376"/>
    <w:rsid w:val="1B7241C4"/>
    <w:rsid w:val="1C273F78"/>
    <w:rsid w:val="1DFD647E"/>
    <w:rsid w:val="1E4C7D38"/>
    <w:rsid w:val="1EAA4A5F"/>
    <w:rsid w:val="1F26058A"/>
    <w:rsid w:val="205A49AA"/>
    <w:rsid w:val="22C41308"/>
    <w:rsid w:val="22DD1EAF"/>
    <w:rsid w:val="22E310A1"/>
    <w:rsid w:val="25B56073"/>
    <w:rsid w:val="25F93317"/>
    <w:rsid w:val="260B672B"/>
    <w:rsid w:val="26663961"/>
    <w:rsid w:val="26BD5EFD"/>
    <w:rsid w:val="276C5CB3"/>
    <w:rsid w:val="287158E1"/>
    <w:rsid w:val="28A6098D"/>
    <w:rsid w:val="28F42E06"/>
    <w:rsid w:val="297D12CC"/>
    <w:rsid w:val="2A1C0F07"/>
    <w:rsid w:val="2A557F75"/>
    <w:rsid w:val="2BE74A0B"/>
    <w:rsid w:val="2C2422F5"/>
    <w:rsid w:val="2C7843EE"/>
    <w:rsid w:val="2C842D93"/>
    <w:rsid w:val="2C8F634D"/>
    <w:rsid w:val="2E9160FE"/>
    <w:rsid w:val="2E960B5C"/>
    <w:rsid w:val="3002294D"/>
    <w:rsid w:val="329F0927"/>
    <w:rsid w:val="33184235"/>
    <w:rsid w:val="33C64F3F"/>
    <w:rsid w:val="34A9783B"/>
    <w:rsid w:val="34F36D08"/>
    <w:rsid w:val="369D34F2"/>
    <w:rsid w:val="3ACF5B21"/>
    <w:rsid w:val="3C345B6C"/>
    <w:rsid w:val="3CF5326E"/>
    <w:rsid w:val="3D4445A5"/>
    <w:rsid w:val="3D8F3346"/>
    <w:rsid w:val="3DAB4624"/>
    <w:rsid w:val="3FB7419F"/>
    <w:rsid w:val="409C64A6"/>
    <w:rsid w:val="4144322E"/>
    <w:rsid w:val="42B60C1B"/>
    <w:rsid w:val="42D27F5D"/>
    <w:rsid w:val="43866F99"/>
    <w:rsid w:val="44957B12"/>
    <w:rsid w:val="46A14816"/>
    <w:rsid w:val="4A4229F0"/>
    <w:rsid w:val="4B1D6435"/>
    <w:rsid w:val="4B756271"/>
    <w:rsid w:val="509338FE"/>
    <w:rsid w:val="50C57353"/>
    <w:rsid w:val="50DD1B6F"/>
    <w:rsid w:val="515F3303"/>
    <w:rsid w:val="529F0D75"/>
    <w:rsid w:val="55102B67"/>
    <w:rsid w:val="5527238A"/>
    <w:rsid w:val="56187F25"/>
    <w:rsid w:val="56341C1D"/>
    <w:rsid w:val="591A2160"/>
    <w:rsid w:val="5A3E02F5"/>
    <w:rsid w:val="5A76552B"/>
    <w:rsid w:val="5A9658BC"/>
    <w:rsid w:val="5BD14DFE"/>
    <w:rsid w:val="5C0F5926"/>
    <w:rsid w:val="5C357C0E"/>
    <w:rsid w:val="5C855BE8"/>
    <w:rsid w:val="5D281324"/>
    <w:rsid w:val="5DA052A8"/>
    <w:rsid w:val="5E0B4267"/>
    <w:rsid w:val="61023CAB"/>
    <w:rsid w:val="63C11BFC"/>
    <w:rsid w:val="66B43C9A"/>
    <w:rsid w:val="67830E4D"/>
    <w:rsid w:val="68761DA1"/>
    <w:rsid w:val="688D47A2"/>
    <w:rsid w:val="68C305E8"/>
    <w:rsid w:val="68F61E52"/>
    <w:rsid w:val="6BB72FC4"/>
    <w:rsid w:val="6BC350F9"/>
    <w:rsid w:val="6C6B54E9"/>
    <w:rsid w:val="6D8343C6"/>
    <w:rsid w:val="6D9D6558"/>
    <w:rsid w:val="6E2039C3"/>
    <w:rsid w:val="6F4B2CC1"/>
    <w:rsid w:val="700A6939"/>
    <w:rsid w:val="7423420D"/>
    <w:rsid w:val="75B72DB3"/>
    <w:rsid w:val="777F0DB7"/>
    <w:rsid w:val="79B60BF1"/>
    <w:rsid w:val="7AFD57B8"/>
    <w:rsid w:val="7C572C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细黑" w:cs="Times New Roman"/>
      <w:kern w:val="2"/>
      <w:sz w:val="21"/>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二级条标题"/>
    <w:basedOn w:val="13"/>
    <w:next w:val="1"/>
    <w:uiPriority w:val="0"/>
    <w:pPr>
      <w:tabs>
        <w:tab w:val="left" w:pos="720"/>
      </w:tabs>
      <w:ind w:left="0" w:firstLine="0"/>
      <w:outlineLvl w:val="3"/>
    </w:pPr>
    <w:rPr>
      <w:rFonts w:hint="default"/>
    </w:rPr>
  </w:style>
  <w:style w:type="paragraph" w:customStyle="1" w:styleId="13">
    <w:name w:val="一级条标题"/>
    <w:basedOn w:val="1"/>
    <w:next w:val="1"/>
    <w:qFormat/>
    <w:uiPriority w:val="0"/>
    <w:pPr>
      <w:widowControl/>
      <w:tabs>
        <w:tab w:val="left" w:pos="720"/>
      </w:tabs>
      <w:ind w:left="720" w:hanging="720"/>
      <w:outlineLvl w:val="2"/>
    </w:pPr>
    <w:rPr>
      <w:rFonts w:hint="eastAsia" w:ascii="黑体" w:eastAsia="黑体"/>
      <w:kern w:val="0"/>
    </w:rPr>
  </w:style>
  <w:style w:type="paragraph" w:customStyle="1" w:styleId="14">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wangxianhua</cp:lastModifiedBy>
  <dcterms:modified xsi:type="dcterms:W3CDTF">2022-07-11T06:15:10Z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