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r>
        <w:ptab w:relativeTo="margin" w:alignment="center" w:leader="none"/>
      </w:r>
    </w:p>
    <w:tbl>
      <w:tblPr>
        <w:tblStyle w:val="10"/>
        <w:tblW w:w="49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7"/>
        <w:gridCol w:w="1056"/>
        <w:gridCol w:w="11816"/>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98" w:type="pct"/>
            <w:vMerge w:val="restart"/>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过程与活动、抽样计划</w:t>
            </w:r>
          </w:p>
        </w:tc>
        <w:tc>
          <w:tcPr>
            <w:tcW w:w="356" w:type="pct"/>
            <w:vMerge w:val="restart"/>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涉及</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条款</w:t>
            </w:r>
          </w:p>
        </w:tc>
        <w:tc>
          <w:tcPr>
            <w:tcW w:w="3985" w:type="pct"/>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受审核部门：销售部                      主管领导：</w:t>
            </w:r>
            <w:r>
              <w:rPr>
                <w:rFonts w:hint="eastAsia" w:ascii="宋体" w:hAnsi="宋体"/>
                <w:color w:val="000000"/>
                <w:lang w:val="en-US" w:eastAsia="zh-CN"/>
              </w:rPr>
              <w:t>李聪</w:t>
            </w:r>
          </w:p>
        </w:tc>
        <w:tc>
          <w:tcPr>
            <w:tcW w:w="160" w:type="pct"/>
            <w:vMerge w:val="restar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98" w:type="pct"/>
            <w:vMerge w:val="continue"/>
            <w:noWrap w:val="0"/>
            <w:vAlign w:val="center"/>
          </w:tcPr>
          <w:p>
            <w:pPr>
              <w:rPr>
                <w:rFonts w:hint="eastAsia" w:ascii="楷体" w:hAnsi="楷体" w:eastAsia="楷体" w:cs="Times New Roman"/>
                <w:bCs/>
                <w:szCs w:val="21"/>
                <w:lang w:val="en-US" w:eastAsia="zh-CN"/>
              </w:rPr>
            </w:pPr>
          </w:p>
        </w:tc>
        <w:tc>
          <w:tcPr>
            <w:tcW w:w="356" w:type="pct"/>
            <w:vMerge w:val="continue"/>
            <w:noWrap w:val="0"/>
            <w:vAlign w:val="center"/>
          </w:tcPr>
          <w:p>
            <w:pPr>
              <w:rPr>
                <w:rFonts w:hint="eastAsia" w:ascii="楷体" w:hAnsi="楷体" w:eastAsia="楷体" w:cs="Times New Roman"/>
                <w:bCs/>
                <w:szCs w:val="21"/>
                <w:lang w:val="en-US" w:eastAsia="zh-CN"/>
              </w:rPr>
            </w:pPr>
          </w:p>
        </w:tc>
        <w:tc>
          <w:tcPr>
            <w:tcW w:w="3985" w:type="pct"/>
            <w:noWrap w:val="0"/>
            <w:vAlign w:val="center"/>
          </w:tcPr>
          <w:p>
            <w:pPr>
              <w:rPr>
                <w:rFonts w:hint="default" w:ascii="楷体" w:hAnsi="楷体" w:eastAsia="楷体" w:cs="Times New Roman"/>
                <w:bCs/>
                <w:szCs w:val="21"/>
                <w:lang w:val="en-US" w:eastAsia="zh-CN"/>
              </w:rPr>
            </w:pPr>
            <w:r>
              <w:rPr>
                <w:rFonts w:hint="eastAsia" w:ascii="楷体" w:hAnsi="楷体" w:eastAsia="楷体" w:cs="Times New Roman"/>
                <w:bCs/>
                <w:szCs w:val="21"/>
                <w:lang w:val="en-US" w:eastAsia="zh-CN"/>
              </w:rPr>
              <w:t xml:space="preserve">审核员： 张磊   </w:t>
            </w:r>
            <w:r>
              <w:rPr>
                <w:rFonts w:hint="eastAsia"/>
                <w:sz w:val="21"/>
                <w:szCs w:val="21"/>
                <w:lang w:val="en-US" w:eastAsia="zh-CN"/>
              </w:rPr>
              <w:t>（远程审核通过微信进行沟通搜集证据）</w:t>
            </w:r>
            <w:r>
              <w:rPr>
                <w:rFonts w:hint="eastAsia" w:ascii="楷体" w:hAnsi="楷体" w:eastAsia="楷体" w:cs="Times New Roman"/>
                <w:bCs/>
                <w:szCs w:val="21"/>
                <w:lang w:val="en-US" w:eastAsia="zh-CN"/>
              </w:rPr>
              <w:t xml:space="preserve">          审核时间：2022年6月16日</w:t>
            </w:r>
          </w:p>
        </w:tc>
        <w:tc>
          <w:tcPr>
            <w:tcW w:w="160" w:type="pct"/>
            <w:vMerge w:val="continue"/>
            <w:noWrap w:val="0"/>
            <w:vAlign w:val="top"/>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498" w:type="pct"/>
            <w:vMerge w:val="continue"/>
            <w:noWrap w:val="0"/>
            <w:vAlign w:val="center"/>
          </w:tcPr>
          <w:p>
            <w:pPr>
              <w:rPr>
                <w:rFonts w:hint="eastAsia" w:ascii="楷体" w:hAnsi="楷体" w:eastAsia="楷体" w:cs="Times New Roman"/>
                <w:bCs/>
                <w:szCs w:val="21"/>
                <w:lang w:val="en-US" w:eastAsia="zh-CN"/>
              </w:rPr>
            </w:pPr>
          </w:p>
        </w:tc>
        <w:tc>
          <w:tcPr>
            <w:tcW w:w="356" w:type="pct"/>
            <w:vMerge w:val="continue"/>
            <w:noWrap w:val="0"/>
            <w:vAlign w:val="center"/>
          </w:tcPr>
          <w:p>
            <w:pPr>
              <w:rPr>
                <w:rFonts w:hint="eastAsia" w:ascii="楷体" w:hAnsi="楷体" w:eastAsia="楷体" w:cs="Times New Roman"/>
                <w:bCs/>
                <w:szCs w:val="21"/>
                <w:lang w:val="en-US" w:eastAsia="zh-CN"/>
              </w:rPr>
            </w:pPr>
          </w:p>
        </w:tc>
        <w:tc>
          <w:tcPr>
            <w:tcW w:w="3985" w:type="pct"/>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审核条款：</w:t>
            </w:r>
            <w:r>
              <w:rPr>
                <w:rFonts w:hint="eastAsia" w:ascii="楷体" w:hAnsi="楷体" w:eastAsia="楷体" w:cs="Times New Roman"/>
                <w:bCs/>
                <w:szCs w:val="21"/>
                <w:lang w:val="de-DE" w:eastAsia="zh-CN"/>
              </w:rPr>
              <w:t>QMS-2015</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5.3岗位/职责 /权限；6.2质量目标及其实现的策划；7.1.3基础设施；  7.1.5监视和测量资源；8.1运行策划和控制；、8.2产品和服务的要求；8.3产品和服务的设计和开发；8.4外部提供供方的控制；8.5.1生产和服务提供的控制；8.5.2标识和可追溯性；8.5.3顾客或外部供方的财产 ；8.5.4产品防护；8.5.5交付后的活动；8.5.6更改控制；8.6产品和服务放行；8.7不合格输出的控制；9.1.2顾客满意；</w:t>
            </w:r>
          </w:p>
          <w:p>
            <w:pPr>
              <w:rPr>
                <w:rFonts w:hint="default" w:ascii="楷体" w:hAnsi="楷体" w:eastAsia="楷体" w:cs="Times New Roman"/>
                <w:bCs/>
                <w:szCs w:val="21"/>
                <w:lang w:val="en-US" w:eastAsia="zh-CN"/>
              </w:rPr>
            </w:pPr>
            <w:r>
              <w:rPr>
                <w:rFonts w:hint="eastAsia" w:ascii="楷体" w:hAnsi="楷体" w:eastAsia="楷体" w:cs="Times New Roman"/>
                <w:bCs/>
                <w:szCs w:val="21"/>
                <w:lang w:val="de-DE" w:eastAsia="zh-CN"/>
              </w:rPr>
              <w:t xml:space="preserve">EMS-2015 </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5.3组织的角色、职责和权限、6.1.2环境因素；6.2目标及其达成的策划；8.1运行策划和控制；8.2应急准备和响应</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de-DE" w:eastAsia="zh-CN"/>
              </w:rPr>
              <w:t>ISO 45001：2018</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 xml:space="preserve">5.3组织的角色、职责和权限；6.1.2危险源辨识和职业安全风险评价；6.2目标及其实现的策划；8.1运行策划和控制；8.2应急准备和响应； </w:t>
            </w:r>
          </w:p>
        </w:tc>
        <w:tc>
          <w:tcPr>
            <w:tcW w:w="160" w:type="pct"/>
            <w:vMerge w:val="continue"/>
            <w:noWrap w:val="0"/>
            <w:vAlign w:val="top"/>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498" w:type="pct"/>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组织的岗位、职责权限</w:t>
            </w:r>
          </w:p>
        </w:tc>
        <w:tc>
          <w:tcPr>
            <w:tcW w:w="356" w:type="pct"/>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Q5.3</w:t>
            </w:r>
          </w:p>
        </w:tc>
        <w:tc>
          <w:tcPr>
            <w:tcW w:w="3985" w:type="pct"/>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销售部负责人：李聪</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主要负责：采购、销售过程的控制；产品要求确定；合同评审；顾客沟通；顾客满意度调查；环境因素危险源的识别与控制、公司目标方案的执行、应急准备和响应等</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负责人对本部门的职责和权限以及工作流程清楚、明确完成本部门的目标指标。能较好回答部门职责，对工作要求明确。</w:t>
            </w:r>
          </w:p>
        </w:tc>
        <w:tc>
          <w:tcPr>
            <w:tcW w:w="160" w:type="pct"/>
            <w:noWrap w:val="0"/>
            <w:vAlign w:val="top"/>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498" w:type="pct"/>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目标和方案</w:t>
            </w:r>
          </w:p>
        </w:tc>
        <w:tc>
          <w:tcPr>
            <w:tcW w:w="356" w:type="pct"/>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QEO6.2</w:t>
            </w:r>
          </w:p>
        </w:tc>
        <w:tc>
          <w:tcPr>
            <w:tcW w:w="3985" w:type="pct"/>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部门目标：</w:t>
            </w:r>
          </w:p>
          <w:tbl>
            <w:tblPr>
              <w:tblStyle w:val="10"/>
              <w:tblpPr w:leftFromText="180" w:rightFromText="180" w:vertAnchor="text" w:horzAnchor="page" w:tblpXSpec="center" w:tblpY="26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6"/>
              <w:gridCol w:w="6724"/>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3236" w:type="dxa"/>
                  <w:tcBorders>
                    <w:bottom w:val="single" w:color="auto" w:sz="4" w:space="0"/>
                  </w:tcBorders>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分目标</w:t>
                  </w:r>
                </w:p>
              </w:tc>
              <w:tc>
                <w:tcPr>
                  <w:tcW w:w="6724" w:type="dxa"/>
                  <w:tcBorders>
                    <w:bottom w:val="single" w:color="auto" w:sz="4" w:space="0"/>
                  </w:tcBorders>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考核方法</w:t>
                  </w:r>
                </w:p>
              </w:tc>
              <w:tc>
                <w:tcPr>
                  <w:tcW w:w="1630" w:type="dxa"/>
                  <w:tcBorders>
                    <w:bottom w:val="single" w:color="auto" w:sz="4" w:space="0"/>
                  </w:tcBorders>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考核结果22.1-22.5月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2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合同履约率100%</w:t>
                  </w:r>
                </w:p>
              </w:tc>
              <w:tc>
                <w:tcPr>
                  <w:tcW w:w="67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履约率＝履约总数÷合同总数×100%</w:t>
                  </w:r>
                </w:p>
              </w:tc>
              <w:tc>
                <w:tcPr>
                  <w:tcW w:w="16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2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顾客投诉处理及时率≥99%</w:t>
                  </w:r>
                </w:p>
              </w:tc>
              <w:tc>
                <w:tcPr>
                  <w:tcW w:w="67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有效投诉处理率＝有效投诉处理数÷顾客有效投诉总数×100%</w:t>
                  </w:r>
                </w:p>
              </w:tc>
              <w:tc>
                <w:tcPr>
                  <w:tcW w:w="16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2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顾客满意率≥95%</w:t>
                  </w:r>
                </w:p>
              </w:tc>
              <w:tc>
                <w:tcPr>
                  <w:tcW w:w="67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满意率＝顾客满意分数总数÷总分数×100%</w:t>
                  </w:r>
                </w:p>
              </w:tc>
              <w:tc>
                <w:tcPr>
                  <w:tcW w:w="16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32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产品交付及时率100%</w:t>
                  </w:r>
                </w:p>
              </w:tc>
              <w:tc>
                <w:tcPr>
                  <w:tcW w:w="67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及时率＝交付及时数÷应交付总数×100%</w:t>
                  </w:r>
                </w:p>
              </w:tc>
              <w:tc>
                <w:tcPr>
                  <w:tcW w:w="16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32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合格供方评定率≥99%</w:t>
                  </w:r>
                </w:p>
              </w:tc>
              <w:tc>
                <w:tcPr>
                  <w:tcW w:w="67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评定率＝已评定数÷需评定总数×100%</w:t>
                  </w:r>
                </w:p>
              </w:tc>
              <w:tc>
                <w:tcPr>
                  <w:tcW w:w="16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32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与供应商沟通及时率≥99%</w:t>
                  </w:r>
                </w:p>
              </w:tc>
              <w:tc>
                <w:tcPr>
                  <w:tcW w:w="67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及时率＝沟通数÷沟通总数×100%</w:t>
                  </w:r>
                </w:p>
              </w:tc>
              <w:tc>
                <w:tcPr>
                  <w:tcW w:w="16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32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产品抽检合格率100%</w:t>
                  </w:r>
                </w:p>
              </w:tc>
              <w:tc>
                <w:tcPr>
                  <w:tcW w:w="67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合格率＝抽检合格数÷抽检总数×100%</w:t>
                  </w:r>
                </w:p>
              </w:tc>
              <w:tc>
                <w:tcPr>
                  <w:tcW w:w="16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32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产品交付合格率≥98%</w:t>
                  </w:r>
                </w:p>
              </w:tc>
              <w:tc>
                <w:tcPr>
                  <w:tcW w:w="67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合格率＝出厂合格数÷出厂总数×100%</w:t>
                  </w:r>
                </w:p>
              </w:tc>
              <w:tc>
                <w:tcPr>
                  <w:tcW w:w="16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32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关键供方100%施加影响；</w:t>
                  </w:r>
                </w:p>
              </w:tc>
              <w:tc>
                <w:tcPr>
                  <w:tcW w:w="67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检查施加数/总数</w:t>
                  </w:r>
                </w:p>
              </w:tc>
              <w:tc>
                <w:tcPr>
                  <w:tcW w:w="16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32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各类废弃物按规定处置100%</w:t>
                  </w:r>
                </w:p>
              </w:tc>
              <w:tc>
                <w:tcPr>
                  <w:tcW w:w="67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检查合格次数/总次数</w:t>
                  </w:r>
                </w:p>
              </w:tc>
              <w:tc>
                <w:tcPr>
                  <w:tcW w:w="16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32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重大安全事故为零、轻伤发生次数为零。</w:t>
                  </w:r>
                </w:p>
              </w:tc>
              <w:tc>
                <w:tcPr>
                  <w:tcW w:w="67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检查实际情况</w:t>
                  </w:r>
                </w:p>
              </w:tc>
              <w:tc>
                <w:tcPr>
                  <w:tcW w:w="16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0</w:t>
                  </w:r>
                </w:p>
              </w:tc>
            </w:tr>
          </w:tbl>
          <w:p>
            <w:pPr>
              <w:rPr>
                <w:rFonts w:hint="eastAsia" w:ascii="楷体" w:hAnsi="楷体" w:eastAsia="楷体" w:cs="Times New Roman"/>
                <w:bCs/>
                <w:szCs w:val="21"/>
                <w:lang w:val="en-US" w:eastAsia="zh-CN"/>
              </w:rPr>
            </w:pP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查目标分解与考核，企业于2022.5.30日已完成考核任务。</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部门分解目标与公司方针一致，可测量，并传达到部门相关人员，必要时适时更新，目前无变化。</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针对以上环境、职业健康安全目标和重要环境因素公司制定了相应的《管理方案》，内容涉及方法措施、执行部门、完成情况等。配备有效的灭火器等消防设施，安全操作隐患检查每月至少1次、现场每天检查操作规范性，防止影响环境的操作等……</w:t>
            </w:r>
          </w:p>
          <w:p>
            <w:pPr>
              <w:rPr>
                <w:rFonts w:hint="default" w:ascii="楷体" w:hAnsi="楷体" w:eastAsia="楷体" w:cs="Times New Roman"/>
                <w:bCs/>
                <w:szCs w:val="21"/>
                <w:lang w:val="en-US" w:eastAsia="zh-CN"/>
              </w:rPr>
            </w:pPr>
            <w:r>
              <w:rPr>
                <w:rFonts w:hint="eastAsia" w:ascii="楷体" w:hAnsi="楷体" w:eastAsia="楷体" w:cs="Times New Roman"/>
                <w:bCs/>
                <w:szCs w:val="21"/>
                <w:lang w:val="en-US" w:eastAsia="zh-CN"/>
              </w:rPr>
              <w:t>提供2022年1月5号《职业健康安全目标、指标及管理方案》、《环境目标、指标及管理方案》，完成情况：以上各产品标均已达成。时间表：自管理体系运行以来持续进行，已按管理方案要求实施。</w:t>
            </w:r>
          </w:p>
        </w:tc>
        <w:tc>
          <w:tcPr>
            <w:tcW w:w="160" w:type="pct"/>
            <w:noWrap w:val="0"/>
            <w:vAlign w:val="top"/>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498" w:type="pct"/>
            <w:noWrap w:val="0"/>
            <w:vAlign w:val="top"/>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环境因素</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危险源</w:t>
            </w:r>
          </w:p>
        </w:tc>
        <w:tc>
          <w:tcPr>
            <w:tcW w:w="356" w:type="pct"/>
            <w:noWrap w:val="0"/>
            <w:vAlign w:val="top"/>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EO6.1.2</w:t>
            </w:r>
          </w:p>
        </w:tc>
        <w:tc>
          <w:tcPr>
            <w:tcW w:w="3985" w:type="pct"/>
            <w:noWrap w:val="0"/>
            <w:vAlign w:val="top"/>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现场提供了《环境因素识别与评价管理程序》、《危险源辨识与风险评价控制措施管理程序》，对环境因素、危险源的识别、评价结果、控制手段等做出了规定。</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质量部负责本部门的环境因素、危险源的识别、评价和控制。</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　　部门负责人介绍了对环境因素、危险源进行了辨识，考虑了三种时态，过去、现在和将来，三种状态，正常、异常和紧急，按照办公过程及检验工作过程等进行了辨识</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查《环境因素调查评价表》，对本部门办公和检验等有关过程的环境因素。分别识别了日常办公过程中的固废（废电池、灯管、墨盒、实验产生的废弃原物料）造成的固体污染、水资源利用（拖地、厕所用水）的水资源消耗、照明、空调、办公设施等电能消耗、意外火灾引起的污染大气、污染地面、资源消耗等环境因素。</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查到：《重要环境因素清单》，质量部涉及重要环境因素：固体废弃物、火灾事故的发生、资源消耗。</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查《危险源辨识及风险评价表》，</w:t>
            </w:r>
            <w:r>
              <w:rPr>
                <w:rFonts w:hint="eastAsia" w:ascii="楷体" w:hAnsi="楷体" w:eastAsia="楷体" w:cs="Times New Roman"/>
                <w:bCs/>
                <w:szCs w:val="21"/>
                <w:lang w:val="en-US" w:eastAsia="zh-TW"/>
              </w:rPr>
              <w:t>部门：</w:t>
            </w:r>
            <w:r>
              <w:rPr>
                <w:rFonts w:hint="eastAsia" w:ascii="楷体" w:hAnsi="楷体" w:eastAsia="楷体" w:cs="Times New Roman"/>
                <w:bCs/>
                <w:szCs w:val="21"/>
                <w:lang w:val="en-US" w:eastAsia="zh-CN"/>
              </w:rPr>
              <w:t>销售部</w:t>
            </w:r>
            <w:r>
              <w:rPr>
                <w:rFonts w:hint="eastAsia" w:ascii="楷体" w:hAnsi="楷体" w:eastAsia="楷体" w:cs="Times New Roman"/>
                <w:bCs/>
                <w:szCs w:val="21"/>
                <w:lang w:val="en-US" w:eastAsia="zh-TW"/>
              </w:rPr>
              <w:t>，识别了办公过程中</w:t>
            </w:r>
            <w:r>
              <w:rPr>
                <w:rFonts w:hint="eastAsia" w:ascii="楷体" w:hAnsi="楷体" w:eastAsia="楷体" w:cs="Times New Roman"/>
                <w:bCs/>
                <w:szCs w:val="21"/>
                <w:lang w:val="en-US" w:eastAsia="zh-CN"/>
              </w:rPr>
              <w:t>垃圾不理不及时</w:t>
            </w:r>
            <w:r>
              <w:rPr>
                <w:rFonts w:hint="eastAsia" w:ascii="楷体" w:hAnsi="楷体" w:eastAsia="楷体" w:cs="Times New Roman"/>
                <w:bCs/>
                <w:szCs w:val="21"/>
                <w:lang w:val="en-US" w:eastAsia="zh-TW"/>
              </w:rPr>
              <w:t>可能导致的</w:t>
            </w:r>
            <w:r>
              <w:rPr>
                <w:rFonts w:hint="eastAsia" w:ascii="楷体" w:hAnsi="楷体" w:eastAsia="楷体" w:cs="Times New Roman"/>
                <w:bCs/>
                <w:szCs w:val="21"/>
                <w:lang w:val="en-US" w:eastAsia="zh-CN"/>
              </w:rPr>
              <w:t>环境污染</w:t>
            </w:r>
            <w:r>
              <w:rPr>
                <w:rFonts w:hint="eastAsia" w:ascii="楷体" w:hAnsi="楷体" w:eastAsia="楷体" w:cs="Times New Roman"/>
                <w:bCs/>
                <w:szCs w:val="21"/>
                <w:lang w:val="en-US" w:eastAsia="zh-TW"/>
              </w:rPr>
              <w:t>、</w:t>
            </w:r>
            <w:r>
              <w:rPr>
                <w:rFonts w:hint="eastAsia" w:ascii="楷体" w:hAnsi="楷体" w:eastAsia="楷体" w:cs="Times New Roman"/>
                <w:bCs/>
                <w:szCs w:val="21"/>
                <w:lang w:val="en-US" w:eastAsia="zh-CN"/>
              </w:rPr>
              <w:t>人离开未断电源</w:t>
            </w:r>
            <w:r>
              <w:rPr>
                <w:rFonts w:hint="eastAsia" w:ascii="楷体" w:hAnsi="楷体" w:eastAsia="楷体" w:cs="Times New Roman"/>
                <w:bCs/>
                <w:szCs w:val="21"/>
                <w:lang w:val="en-US" w:eastAsia="zh-TW"/>
              </w:rPr>
              <w:t>可能导致的的火灾、</w:t>
            </w:r>
            <w:r>
              <w:rPr>
                <w:rFonts w:hint="eastAsia" w:ascii="楷体" w:hAnsi="楷体" w:eastAsia="楷体" w:cs="Times New Roman"/>
                <w:bCs/>
                <w:szCs w:val="21"/>
                <w:lang w:val="en-US" w:eastAsia="zh-CN"/>
              </w:rPr>
              <w:t>违规行驶</w:t>
            </w:r>
            <w:r>
              <w:rPr>
                <w:rFonts w:hint="eastAsia" w:ascii="楷体" w:hAnsi="楷体" w:eastAsia="楷体" w:cs="Times New Roman"/>
                <w:bCs/>
                <w:szCs w:val="21"/>
                <w:lang w:val="en-US" w:eastAsia="zh-TW"/>
              </w:rPr>
              <w:t>可能导致的</w:t>
            </w:r>
            <w:r>
              <w:rPr>
                <w:rFonts w:hint="eastAsia" w:ascii="楷体" w:hAnsi="楷体" w:eastAsia="楷体" w:cs="Times New Roman"/>
                <w:bCs/>
                <w:szCs w:val="21"/>
                <w:lang w:val="en-US" w:eastAsia="zh-CN"/>
              </w:rPr>
              <w:t>交通事故</w:t>
            </w:r>
            <w:r>
              <w:rPr>
                <w:rFonts w:hint="eastAsia" w:ascii="楷体" w:hAnsi="楷体" w:eastAsia="楷体" w:cs="Times New Roman"/>
                <w:bCs/>
                <w:szCs w:val="21"/>
                <w:lang w:val="en-US" w:eastAsia="zh-TW"/>
              </w:rPr>
              <w:t>等危险源</w:t>
            </w:r>
            <w:r>
              <w:rPr>
                <w:rFonts w:hint="eastAsia" w:ascii="楷体" w:hAnsi="楷体" w:eastAsia="楷体" w:cs="Times New Roman"/>
                <w:bCs/>
                <w:szCs w:val="21"/>
                <w:lang w:val="en-US" w:eastAsia="zh-CN"/>
              </w:rPr>
              <w:t>。</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查到：《重 要 风 险 危 险 源 清 单》，质量部</w:t>
            </w:r>
            <w:r>
              <w:rPr>
                <w:rFonts w:hint="eastAsia" w:ascii="楷体" w:hAnsi="楷体" w:eastAsia="楷体" w:cs="Times New Roman"/>
                <w:bCs/>
                <w:szCs w:val="21"/>
                <w:lang w:val="en-US" w:eastAsia="zh-TW"/>
              </w:rPr>
              <w:t>涉及的不可接受风险：触电</w:t>
            </w:r>
            <w:r>
              <w:rPr>
                <w:rFonts w:hint="eastAsia" w:ascii="楷体" w:hAnsi="楷体" w:eastAsia="楷体" w:cs="Times New Roman"/>
                <w:bCs/>
                <w:szCs w:val="21"/>
                <w:lang w:val="en-US" w:eastAsia="zh-CN"/>
              </w:rPr>
              <w:t>、</w:t>
            </w:r>
            <w:r>
              <w:rPr>
                <w:rFonts w:hint="eastAsia" w:ascii="楷体" w:hAnsi="楷体" w:eastAsia="楷体" w:cs="Times New Roman"/>
                <w:bCs/>
                <w:szCs w:val="21"/>
                <w:lang w:val="en-US" w:eastAsia="zh-TW"/>
              </w:rPr>
              <w:t>火灾</w:t>
            </w:r>
            <w:r>
              <w:rPr>
                <w:rFonts w:hint="eastAsia" w:ascii="楷体" w:hAnsi="楷体" w:eastAsia="楷体" w:cs="Times New Roman"/>
                <w:bCs/>
                <w:szCs w:val="21"/>
                <w:lang w:val="en-US" w:eastAsia="zh-CN"/>
              </w:rPr>
              <w:t>、交通事故</w:t>
            </w:r>
            <w:r>
              <w:rPr>
                <w:rFonts w:hint="eastAsia" w:ascii="楷体" w:hAnsi="楷体" w:eastAsia="楷体" w:cs="Times New Roman"/>
                <w:bCs/>
                <w:szCs w:val="21"/>
                <w:lang w:val="en-US" w:eastAsia="zh-TW"/>
              </w:rPr>
              <w:t>。</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TW"/>
              </w:rPr>
              <w:t>对于</w:t>
            </w:r>
            <w:r>
              <w:rPr>
                <w:rFonts w:hint="eastAsia" w:ascii="楷体" w:hAnsi="楷体" w:eastAsia="楷体" w:cs="Times New Roman"/>
                <w:bCs/>
                <w:szCs w:val="21"/>
                <w:lang w:val="en-US" w:eastAsia="zh-CN"/>
              </w:rPr>
              <w:t>环境因素、重要环境因素及危险源、不可接受风险等通过运行控制、管理方案、应急准备与响应进行控制。</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销售部环境因素、危险的识别、评价基本符合标准要求。</w:t>
            </w:r>
          </w:p>
        </w:tc>
        <w:tc>
          <w:tcPr>
            <w:tcW w:w="160" w:type="pct"/>
            <w:noWrap w:val="0"/>
            <w:vAlign w:val="top"/>
          </w:tcPr>
          <w:p>
            <w:pPr>
              <w:rPr>
                <w:rFonts w:hint="eastAsia" w:ascii="楷体" w:hAnsi="楷体" w:eastAsia="楷体" w:cs="Times New Roman"/>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498" w:type="pct"/>
            <w:noWrap w:val="0"/>
            <w:vAlign w:val="top"/>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基础设施</w:t>
            </w:r>
          </w:p>
          <w:p>
            <w:pPr>
              <w:rPr>
                <w:rFonts w:hint="eastAsia" w:ascii="楷体" w:hAnsi="楷体" w:eastAsia="楷体" w:cs="Times New Roman"/>
                <w:bCs/>
                <w:szCs w:val="21"/>
                <w:lang w:val="en-US" w:eastAsia="zh-CN"/>
              </w:rPr>
            </w:pPr>
          </w:p>
        </w:tc>
        <w:tc>
          <w:tcPr>
            <w:tcW w:w="356" w:type="pct"/>
            <w:noWrap w:val="0"/>
            <w:vAlign w:val="top"/>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Q7.1.3</w:t>
            </w:r>
          </w:p>
          <w:p>
            <w:pPr>
              <w:rPr>
                <w:rFonts w:hint="eastAsia" w:ascii="楷体" w:hAnsi="楷体" w:eastAsia="楷体" w:cs="Times New Roman"/>
                <w:bCs/>
                <w:szCs w:val="21"/>
                <w:lang w:val="en-US" w:eastAsia="zh-CN"/>
              </w:rPr>
            </w:pPr>
          </w:p>
        </w:tc>
        <w:tc>
          <w:tcPr>
            <w:tcW w:w="3985" w:type="pct"/>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该公司编制《设备维护保养管理办法》。规定了设备设施的维护保养要求。</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查公司办公设备主要包括：办公设备有电脑、电话、传真机、打印/复印/扫描机。有办公楼，基础设施能够满足办公及生产的需求。</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查设备台帐，主要是办公设备，包括：电脑、电话、办公桌椅、展板、文件柜、汽车等；行政部电脑、传真、打印机及网络运行正常，日常维护保养包括对电脑的定期杀毒，车的定期保养、大中小修、定期年检。全部完好。</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消防栓、灭火器若干，配电箱无异常。</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无特种设备：</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以上基础设施基本可以满足体系运行的需要。</w:t>
            </w:r>
          </w:p>
        </w:tc>
        <w:tc>
          <w:tcPr>
            <w:tcW w:w="160" w:type="pct"/>
            <w:noWrap w:val="0"/>
            <w:vAlign w:val="top"/>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498" w:type="pct"/>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策划</w:t>
            </w:r>
          </w:p>
        </w:tc>
        <w:tc>
          <w:tcPr>
            <w:tcW w:w="356" w:type="pct"/>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Q8.1</w:t>
            </w:r>
          </w:p>
        </w:tc>
        <w:tc>
          <w:tcPr>
            <w:tcW w:w="3985" w:type="pct"/>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按照与顾客签订的供货合同及相关法律法规要求--中华人民共和物权法、中华人民共和国合同法、中华人民共和国产品质量法、中华人民共和国消费者权益保护法、中华人民共和国专利法、中华人民共和国商标法、中华人民共和国广告法、中华人民共和国反不正当竞争法等；严格执行以上规定；</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公司还制定了：《与顾客有关过程管理程序》、《顾客满意度监测管理程序》、《运行控制管理程序》、《外部提供产品、服务和过程控制程序》等程序和相关制度。</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销售流程：业务洽谈→签订合同→备货→验货→出货→客户管理→持续改进</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zh-CN" w:eastAsia="zh-CN"/>
              </w:rPr>
              <w:t>需确认过程：销售服务过程，</w:t>
            </w:r>
            <w:r>
              <w:rPr>
                <w:rFonts w:hint="eastAsia" w:ascii="楷体" w:hAnsi="楷体" w:eastAsia="楷体" w:cs="Times New Roman"/>
                <w:bCs/>
                <w:szCs w:val="21"/>
                <w:lang w:val="en-US" w:eastAsia="zh-CN"/>
              </w:rPr>
              <w:t>查见《销售服务人员2022年度人员能力确认表》，对该过程从工作人员能力、服务技巧、个人表现、工作流程等方面进行了确认评价。确认结论：满足要求。确认人：</w:t>
            </w:r>
            <w:r>
              <w:rPr>
                <w:rFonts w:hint="eastAsia" w:ascii="宋体" w:hAnsi="宋体"/>
                <w:color w:val="000000"/>
                <w:lang w:val="en-US" w:eastAsia="zh-CN"/>
              </w:rPr>
              <w:t>李双清</w:t>
            </w:r>
            <w:r>
              <w:rPr>
                <w:rFonts w:hint="eastAsia" w:ascii="楷体" w:hAnsi="楷体" w:eastAsia="楷体" w:cs="Times New Roman"/>
                <w:bCs/>
                <w:szCs w:val="21"/>
                <w:lang w:val="en-US" w:eastAsia="zh-CN"/>
              </w:rPr>
              <w:t xml:space="preserve"> </w:t>
            </w:r>
            <w:r>
              <w:rPr>
                <w:rFonts w:hint="eastAsia" w:ascii="宋体" w:hAnsi="宋体"/>
                <w:color w:val="000000"/>
                <w:lang w:val="en-US" w:eastAsia="zh-CN"/>
              </w:rPr>
              <w:t>李少飞</w:t>
            </w:r>
            <w:r>
              <w:rPr>
                <w:rFonts w:hint="eastAsia" w:ascii="楷体" w:hAnsi="楷体" w:eastAsia="楷体" w:cs="Times New Roman"/>
                <w:bCs/>
                <w:szCs w:val="21"/>
                <w:lang w:val="en-US" w:eastAsia="zh-CN"/>
              </w:rPr>
              <w:t>， 时间:2022.1.10。</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销售员从采购合格供应商订货后，厂家直接发货，在规定时间内和指定地点，厂家会去给客户安装，调试，销售员及时跟进进度，随时向销售经理汇报情况。</w:t>
            </w:r>
          </w:p>
        </w:tc>
        <w:tc>
          <w:tcPr>
            <w:tcW w:w="160" w:type="pct"/>
            <w:noWrap w:val="0"/>
            <w:vAlign w:val="top"/>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498" w:type="pct"/>
            <w:noWrap w:val="0"/>
            <w:vAlign w:val="center"/>
          </w:tcPr>
          <w:p>
            <w:pPr>
              <w:rPr>
                <w:rFonts w:hint="default" w:ascii="楷体" w:hAnsi="楷体" w:eastAsia="楷体" w:cs="Times New Roman"/>
                <w:bCs/>
                <w:szCs w:val="21"/>
                <w:lang w:val="en-US" w:eastAsia="zh-CN"/>
              </w:rPr>
            </w:pPr>
            <w:r>
              <w:rPr>
                <w:rFonts w:hint="eastAsia" w:ascii="楷体" w:hAnsi="楷体" w:eastAsia="楷体" w:cs="Times New Roman"/>
                <w:bCs/>
                <w:szCs w:val="21"/>
                <w:lang w:val="en-US" w:eastAsia="zh-CN"/>
              </w:rPr>
              <w:t>顾客沟通</w:t>
            </w:r>
          </w:p>
        </w:tc>
        <w:tc>
          <w:tcPr>
            <w:tcW w:w="356" w:type="pct"/>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Q</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8.2.1</w:t>
            </w:r>
          </w:p>
        </w:tc>
        <w:tc>
          <w:tcPr>
            <w:tcW w:w="3985" w:type="pct"/>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顾客沟通方式有面谈、电话、网络等联系形式。确认订单时向顾客了解顾客对服务质量、流程进度等的要求；向顾客报告进度，再次确认服务地点、时间等，及时收集顾客对产品的反馈信息，开展顾客满意度调查，包括顾客抱怨和投诉，目前未发生顾客投诉。</w:t>
            </w:r>
          </w:p>
        </w:tc>
        <w:tc>
          <w:tcPr>
            <w:tcW w:w="160" w:type="pct"/>
            <w:noWrap w:val="0"/>
            <w:vAlign w:val="top"/>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498" w:type="pct"/>
            <w:noWrap w:val="0"/>
            <w:vAlign w:val="center"/>
          </w:tcPr>
          <w:p>
            <w:pPr>
              <w:rPr>
                <w:rFonts w:hint="default" w:ascii="楷体" w:hAnsi="楷体" w:eastAsia="楷体" w:cs="Times New Roman"/>
                <w:bCs/>
                <w:szCs w:val="21"/>
                <w:lang w:val="en-US" w:eastAsia="zh-CN"/>
              </w:rPr>
            </w:pPr>
            <w:r>
              <w:rPr>
                <w:rFonts w:hint="eastAsia" w:ascii="楷体" w:hAnsi="楷体" w:eastAsia="楷体" w:cs="Times New Roman"/>
                <w:bCs/>
                <w:szCs w:val="21"/>
                <w:lang w:val="en-US" w:eastAsia="zh-CN"/>
              </w:rPr>
              <w:t>与产品和服务要求的确定</w:t>
            </w:r>
          </w:p>
        </w:tc>
        <w:tc>
          <w:tcPr>
            <w:tcW w:w="356" w:type="pct"/>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Q</w:t>
            </w:r>
            <w:r>
              <w:rPr>
                <w:rFonts w:hint="eastAsia" w:ascii="楷体" w:hAnsi="楷体" w:eastAsia="楷体" w:cs="Times New Roman"/>
                <w:bCs/>
                <w:szCs w:val="21"/>
                <w:lang w:val="en-US" w:eastAsia="zh-CN"/>
              </w:rPr>
              <w:tab/>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8.2.2</w:t>
            </w:r>
          </w:p>
        </w:tc>
        <w:tc>
          <w:tcPr>
            <w:tcW w:w="3985" w:type="pct"/>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主要涉及：</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Q：医疗器械和纺织品的销售</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主要依据合同法、国家法律法规、环境保护法、环境质量标准等要求进行服务，与产品有关的要求主要体现在与顾客所签定的合同/协议中。</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另外，该公司确定并收集了产品质量法、合同法、地方环保条例等相关法律法规，将其中的相关要求作为与产品有关要求的补充。</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该公司目前在服务提供过程中没有附加要求。</w:t>
            </w:r>
          </w:p>
        </w:tc>
        <w:tc>
          <w:tcPr>
            <w:tcW w:w="160" w:type="pct"/>
            <w:noWrap w:val="0"/>
            <w:vAlign w:val="top"/>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498" w:type="pct"/>
            <w:noWrap w:val="0"/>
            <w:vAlign w:val="center"/>
          </w:tcPr>
          <w:p>
            <w:pPr>
              <w:rPr>
                <w:rFonts w:hint="default" w:ascii="楷体" w:hAnsi="楷体" w:eastAsia="楷体" w:cs="Times New Roman"/>
                <w:bCs/>
                <w:szCs w:val="21"/>
                <w:lang w:val="en-US" w:eastAsia="zh-CN"/>
              </w:rPr>
            </w:pPr>
            <w:r>
              <w:rPr>
                <w:rFonts w:hint="eastAsia" w:ascii="楷体" w:hAnsi="楷体" w:eastAsia="楷体" w:cs="Times New Roman"/>
                <w:bCs/>
                <w:szCs w:val="21"/>
                <w:lang w:val="en-US" w:eastAsia="zh-CN"/>
              </w:rPr>
              <w:t>产品和服务要求的评审</w:t>
            </w:r>
          </w:p>
        </w:tc>
        <w:tc>
          <w:tcPr>
            <w:tcW w:w="356" w:type="pct"/>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Q8.2.3</w:t>
            </w:r>
          </w:p>
        </w:tc>
        <w:tc>
          <w:tcPr>
            <w:tcW w:w="3985" w:type="pct"/>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1）公司首先在合同中明确了顾客对技术服务的质量要求及技术标准、价格、交货方式、验收方式、货款结算方式等明示要求。</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2）确定了技术服务的法律法规要求（技术服务标准等要求）、售后服务等。</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3）该公司与产品有关要求主要在合同中体现，在合同签订之前，由总经理组织各相关部门以会议或会签的方式进行评审。</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抽查销售合同情况</w:t>
            </w:r>
          </w:p>
          <w:p>
            <w:pPr>
              <w:rPr>
                <w:rFonts w:hint="default" w:ascii="楷体" w:hAnsi="楷体" w:eastAsia="楷体" w:cs="Times New Roman"/>
                <w:bCs/>
                <w:szCs w:val="21"/>
                <w:lang w:val="en-US" w:eastAsia="zh-CN"/>
              </w:rPr>
            </w:pPr>
            <w:r>
              <w:rPr>
                <w:rFonts w:hint="eastAsia" w:ascii="楷体" w:hAnsi="楷体" w:eastAsia="楷体" w:cs="Times New Roman"/>
                <w:bCs/>
                <w:szCs w:val="21"/>
                <w:lang w:val="en-US" w:eastAsia="zh-CN"/>
              </w:rPr>
              <w:t xml:space="preserve">抽1：客户：邢台阳康贸易有限公司  </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 xml:space="preserve">产品名称：巡回服 </w:t>
            </w:r>
          </w:p>
          <w:p>
            <w:pPr>
              <w:pStyle w:val="2"/>
              <w:rPr>
                <w:rFonts w:hint="default"/>
                <w:lang w:val="en-US" w:eastAsia="zh-CN"/>
              </w:rPr>
            </w:pPr>
            <w:r>
              <w:rPr>
                <w:rFonts w:hint="eastAsia" w:ascii="楷体" w:hAnsi="楷体" w:eastAsia="楷体" w:cs="Times New Roman"/>
                <w:bCs/>
                <w:szCs w:val="21"/>
                <w:lang w:val="en-US" w:eastAsia="zh-CN"/>
              </w:rPr>
              <w:t>合同编号：</w:t>
            </w:r>
            <w:r>
              <w:rPr>
                <w:rFonts w:hint="eastAsia"/>
                <w:lang w:val="en-US" w:eastAsia="zh-CN"/>
              </w:rPr>
              <w:t>DH202202-004</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评审日期：2022年2月17日</w:t>
            </w:r>
          </w:p>
          <w:p>
            <w:pPr>
              <w:pStyle w:val="2"/>
              <w:rPr>
                <w:rFonts w:hint="default"/>
                <w:lang w:val="en-US" w:eastAsia="zh-CN"/>
              </w:rPr>
            </w:pPr>
            <w:r>
              <w:rPr>
                <w:rFonts w:hint="eastAsia" w:ascii="楷体" w:hAnsi="楷体" w:eastAsia="楷体" w:cs="Times New Roman"/>
                <w:bCs/>
                <w:szCs w:val="21"/>
                <w:lang w:val="en-US" w:eastAsia="zh-CN"/>
              </w:rPr>
              <w:t>签订日期：2022年2月19日</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预计完成：交付定金后10个工作日</w:t>
            </w:r>
          </w:p>
          <w:p>
            <w:pPr>
              <w:pStyle w:val="2"/>
              <w:rPr>
                <w:rFonts w:hint="default"/>
                <w:lang w:val="en-US" w:eastAsia="zh-CN"/>
              </w:rPr>
            </w:pPr>
          </w:p>
          <w:p>
            <w:pPr>
              <w:rPr>
                <w:rFonts w:hint="default" w:ascii="楷体" w:hAnsi="楷体" w:eastAsia="楷体" w:cs="Times New Roman"/>
                <w:bCs/>
                <w:szCs w:val="21"/>
                <w:lang w:val="en-US" w:eastAsia="zh-CN"/>
              </w:rPr>
            </w:pPr>
            <w:r>
              <w:rPr>
                <w:rFonts w:hint="eastAsia" w:ascii="楷体" w:hAnsi="楷体" w:eastAsia="楷体" w:cs="Times New Roman"/>
                <w:bCs/>
                <w:szCs w:val="21"/>
                <w:lang w:val="en-US" w:eastAsia="zh-CN"/>
              </w:rPr>
              <w:t>抽2：客户：</w:t>
            </w:r>
            <w:r>
              <w:rPr>
                <w:rFonts w:hint="eastAsia" w:ascii="宋体" w:hAnsi="宋体"/>
                <w:szCs w:val="21"/>
                <w:lang w:val="en-US" w:eastAsia="zh-CN"/>
              </w:rPr>
              <w:t>国药创科河北医疗技术有限公司</w:t>
            </w:r>
            <w:r>
              <w:rPr>
                <w:rFonts w:hint="eastAsia" w:ascii="楷体" w:hAnsi="楷体" w:eastAsia="楷体" w:cs="Times New Roman"/>
                <w:bCs/>
                <w:szCs w:val="21"/>
                <w:lang w:val="en-US" w:eastAsia="zh-CN"/>
              </w:rPr>
              <w:t xml:space="preserve">  </w:t>
            </w:r>
          </w:p>
          <w:p>
            <w:pPr>
              <w:rPr>
                <w:rFonts w:hint="default" w:ascii="楷体" w:hAnsi="楷体" w:eastAsia="楷体" w:cs="Times New Roman"/>
                <w:bCs/>
                <w:szCs w:val="21"/>
                <w:lang w:val="en-US" w:eastAsia="zh-CN"/>
              </w:rPr>
            </w:pPr>
            <w:r>
              <w:rPr>
                <w:rFonts w:hint="eastAsia" w:ascii="楷体" w:hAnsi="楷体" w:eastAsia="楷体" w:cs="Times New Roman"/>
                <w:bCs/>
                <w:szCs w:val="21"/>
                <w:lang w:val="en-US" w:eastAsia="zh-CN"/>
              </w:rPr>
              <w:t>产品名称：手术衣、手术单等</w:t>
            </w:r>
          </w:p>
          <w:p>
            <w:pPr>
              <w:pStyle w:val="2"/>
              <w:rPr>
                <w:rFonts w:hint="default"/>
                <w:lang w:val="en-US" w:eastAsia="zh-CN"/>
              </w:rPr>
            </w:pPr>
            <w:r>
              <w:rPr>
                <w:rFonts w:hint="eastAsia" w:ascii="楷体" w:hAnsi="楷体" w:eastAsia="楷体" w:cs="Times New Roman"/>
                <w:bCs/>
                <w:szCs w:val="21"/>
                <w:lang w:val="en-US" w:eastAsia="zh-CN"/>
              </w:rPr>
              <w:t>合同编号：</w:t>
            </w:r>
            <w:r>
              <w:rPr>
                <w:rFonts w:hint="eastAsia"/>
                <w:lang w:val="en-US" w:eastAsia="zh-CN"/>
              </w:rPr>
              <w:t>DH202203-008</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评审日期：2022年3月27日</w:t>
            </w:r>
          </w:p>
          <w:p>
            <w:pPr>
              <w:pStyle w:val="2"/>
              <w:rPr>
                <w:rFonts w:hint="default"/>
                <w:lang w:val="en-US" w:eastAsia="zh-CN"/>
              </w:rPr>
            </w:pPr>
            <w:r>
              <w:rPr>
                <w:rFonts w:hint="eastAsia" w:ascii="楷体" w:hAnsi="楷体" w:eastAsia="楷体" w:cs="Times New Roman"/>
                <w:bCs/>
                <w:szCs w:val="21"/>
                <w:lang w:val="en-US" w:eastAsia="zh-CN"/>
              </w:rPr>
              <w:t>签订日期：2022年3月28日</w:t>
            </w:r>
          </w:p>
          <w:p>
            <w:pPr>
              <w:rPr>
                <w:rFonts w:hint="default" w:ascii="楷体" w:hAnsi="楷体" w:eastAsia="楷体" w:cs="Times New Roman"/>
                <w:bCs/>
                <w:szCs w:val="21"/>
                <w:lang w:val="en-US" w:eastAsia="zh-CN"/>
              </w:rPr>
            </w:pPr>
            <w:r>
              <w:rPr>
                <w:rFonts w:hint="eastAsia" w:ascii="楷体" w:hAnsi="楷体" w:eastAsia="楷体" w:cs="Times New Roman"/>
                <w:bCs/>
                <w:szCs w:val="21"/>
                <w:lang w:val="en-US" w:eastAsia="zh-CN"/>
              </w:rPr>
              <w:t>预计完成：依照合同约定。</w:t>
            </w:r>
          </w:p>
          <w:p>
            <w:pPr>
              <w:rPr>
                <w:rFonts w:hint="eastAsia" w:ascii="楷体" w:hAnsi="楷体" w:eastAsia="楷体" w:cs="Times New Roman"/>
                <w:bCs/>
                <w:szCs w:val="21"/>
                <w:lang w:val="en-US" w:eastAsia="zh-CN"/>
              </w:rPr>
            </w:pPr>
          </w:p>
          <w:p>
            <w:pPr>
              <w:rPr>
                <w:rFonts w:hint="eastAsia" w:ascii="宋体" w:hAnsi="宋体"/>
                <w:szCs w:val="21"/>
                <w:lang w:val="en-US" w:eastAsia="zh-CN"/>
              </w:rPr>
            </w:pPr>
            <w:r>
              <w:rPr>
                <w:rFonts w:hint="eastAsia" w:ascii="楷体" w:hAnsi="楷体" w:eastAsia="楷体" w:cs="Times New Roman"/>
                <w:bCs/>
                <w:szCs w:val="21"/>
                <w:lang w:val="en-US" w:eastAsia="zh-CN"/>
              </w:rPr>
              <w:t>抽3：客户：</w:t>
            </w:r>
            <w:r>
              <w:rPr>
                <w:rFonts w:hint="eastAsia" w:ascii="宋体" w:hAnsi="宋体"/>
                <w:szCs w:val="21"/>
                <w:lang w:val="en-US" w:eastAsia="zh-CN"/>
              </w:rPr>
              <w:t>国药集团江西医疗器械有限公司</w:t>
            </w:r>
          </w:p>
          <w:p>
            <w:pPr>
              <w:rPr>
                <w:rFonts w:hint="default" w:ascii="楷体" w:hAnsi="楷体" w:eastAsia="楷体" w:cs="Times New Roman"/>
                <w:bCs/>
                <w:szCs w:val="21"/>
                <w:lang w:val="en-US" w:eastAsia="zh-CN"/>
              </w:rPr>
            </w:pPr>
            <w:r>
              <w:rPr>
                <w:rFonts w:hint="eastAsia" w:ascii="楷体" w:hAnsi="楷体" w:eastAsia="楷体" w:cs="Times New Roman"/>
                <w:bCs/>
                <w:szCs w:val="21"/>
                <w:lang w:val="en-US" w:eastAsia="zh-CN"/>
              </w:rPr>
              <w:t>产品名称：隔离衣</w:t>
            </w:r>
          </w:p>
          <w:p>
            <w:pPr>
              <w:pStyle w:val="2"/>
              <w:rPr>
                <w:rFonts w:hint="default"/>
                <w:lang w:val="en-US" w:eastAsia="zh-CN"/>
              </w:rPr>
            </w:pPr>
            <w:r>
              <w:rPr>
                <w:rFonts w:hint="eastAsia" w:ascii="楷体" w:hAnsi="楷体" w:eastAsia="楷体" w:cs="Times New Roman"/>
                <w:bCs/>
                <w:szCs w:val="21"/>
                <w:lang w:val="en-US" w:eastAsia="zh-CN"/>
              </w:rPr>
              <w:t>合同编号：</w:t>
            </w:r>
            <w:r>
              <w:rPr>
                <w:rFonts w:hint="eastAsia"/>
                <w:lang w:val="en-US" w:eastAsia="zh-CN"/>
              </w:rPr>
              <w:t>DH202203-009</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评审日期：2022年3月22日</w:t>
            </w:r>
          </w:p>
          <w:p>
            <w:pPr>
              <w:pStyle w:val="2"/>
              <w:rPr>
                <w:rFonts w:hint="default"/>
                <w:lang w:val="en-US" w:eastAsia="zh-CN"/>
              </w:rPr>
            </w:pPr>
            <w:r>
              <w:rPr>
                <w:rFonts w:hint="eastAsia" w:ascii="楷体" w:hAnsi="楷体" w:eastAsia="楷体" w:cs="Times New Roman"/>
                <w:bCs/>
                <w:szCs w:val="21"/>
                <w:lang w:val="en-US" w:eastAsia="zh-CN"/>
              </w:rPr>
              <w:t>签订日期：2022年3月23日</w:t>
            </w:r>
          </w:p>
          <w:p>
            <w:pPr>
              <w:rPr>
                <w:rFonts w:hint="default" w:ascii="楷体" w:hAnsi="楷体" w:eastAsia="楷体" w:cs="Times New Roman"/>
                <w:bCs/>
                <w:szCs w:val="21"/>
                <w:lang w:val="en-US" w:eastAsia="zh-CN"/>
              </w:rPr>
            </w:pPr>
            <w:r>
              <w:rPr>
                <w:rFonts w:hint="eastAsia" w:ascii="楷体" w:hAnsi="楷体" w:eastAsia="楷体" w:cs="Times New Roman"/>
                <w:bCs/>
                <w:szCs w:val="21"/>
                <w:lang w:val="en-US" w:eastAsia="zh-CN"/>
              </w:rPr>
              <w:t>预计完成：依照合同约定。</w:t>
            </w:r>
          </w:p>
          <w:p>
            <w:pPr>
              <w:rPr>
                <w:rFonts w:hint="eastAsia" w:ascii="楷体" w:hAnsi="楷体" w:eastAsia="楷体" w:cs="Times New Roman"/>
                <w:bCs/>
                <w:szCs w:val="21"/>
                <w:lang w:val="en-US" w:eastAsia="zh-CN"/>
              </w:rPr>
            </w:pP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以上合同均规定了技术服务内容、双方的权利义务、服务交付方式等内容、交付期等内容，</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顾客要求明确 。均有双方法人签字和加盖的公章</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见以上《合同评审登记表》，评审内容包括  对服务交付方式、交付能力、质量要求等进行了评审，认为可以满足。有总经理签字,同意签订合同。</w:t>
            </w:r>
          </w:p>
        </w:tc>
        <w:tc>
          <w:tcPr>
            <w:tcW w:w="160" w:type="pct"/>
            <w:noWrap w:val="0"/>
            <w:vAlign w:val="top"/>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符合</w:t>
            </w:r>
          </w:p>
          <w:p>
            <w:pPr>
              <w:rPr>
                <w:rFonts w:hint="eastAsia" w:ascii="楷体" w:hAnsi="楷体" w:eastAsia="楷体" w:cs="Times New Roman"/>
                <w:bCs/>
                <w:szCs w:val="21"/>
                <w:lang w:val="en-US" w:eastAsia="zh-CN"/>
              </w:rPr>
            </w:pPr>
          </w:p>
          <w:p>
            <w:pPr>
              <w:rPr>
                <w:rFonts w:hint="eastAsia" w:ascii="楷体" w:hAnsi="楷体" w:eastAsia="楷体" w:cs="Times New Roman"/>
                <w:bCs/>
                <w:szCs w:val="21"/>
                <w:lang w:val="en-US" w:eastAsia="zh-CN"/>
              </w:rPr>
            </w:pPr>
          </w:p>
          <w:p>
            <w:pPr>
              <w:rPr>
                <w:rFonts w:hint="eastAsia" w:ascii="楷体" w:hAnsi="楷体" w:eastAsia="楷体" w:cs="Times New Roman"/>
                <w:bCs/>
                <w:szCs w:val="21"/>
                <w:lang w:val="en-US" w:eastAsia="zh-CN"/>
              </w:rPr>
            </w:pPr>
          </w:p>
          <w:p>
            <w:pPr>
              <w:rPr>
                <w:rFonts w:hint="eastAsia" w:ascii="楷体" w:hAnsi="楷体" w:eastAsia="楷体" w:cs="Times New Roman"/>
                <w:bCs/>
                <w:szCs w:val="21"/>
                <w:lang w:val="en-US" w:eastAsia="zh-CN"/>
              </w:rPr>
            </w:pPr>
          </w:p>
          <w:p>
            <w:pPr>
              <w:rPr>
                <w:rFonts w:hint="eastAsia" w:ascii="楷体" w:hAnsi="楷体" w:eastAsia="楷体" w:cs="Times New Roman"/>
                <w:bCs/>
                <w:szCs w:val="21"/>
                <w:lang w:val="en-US" w:eastAsia="zh-CN"/>
              </w:rPr>
            </w:pPr>
          </w:p>
          <w:p>
            <w:pPr>
              <w:rPr>
                <w:rFonts w:hint="eastAsia" w:ascii="楷体" w:hAnsi="楷体" w:eastAsia="楷体" w:cs="Times New Roman"/>
                <w:bCs/>
                <w:szCs w:val="21"/>
                <w:lang w:val="en-US" w:eastAsia="zh-CN"/>
              </w:rPr>
            </w:pPr>
          </w:p>
          <w:p>
            <w:pPr>
              <w:rPr>
                <w:rFonts w:hint="eastAsia" w:ascii="楷体" w:hAnsi="楷体" w:eastAsia="楷体" w:cs="Times New Roman"/>
                <w:bCs/>
                <w:szCs w:val="21"/>
                <w:lang w:val="en-US" w:eastAsia="zh-CN"/>
              </w:rPr>
            </w:pPr>
          </w:p>
          <w:p>
            <w:pPr>
              <w:rPr>
                <w:rFonts w:hint="eastAsia" w:ascii="楷体" w:hAnsi="楷体" w:eastAsia="楷体" w:cs="Times New Roman"/>
                <w:bCs/>
                <w:szCs w:val="21"/>
                <w:lang w:val="en-US" w:eastAsia="zh-CN"/>
              </w:rPr>
            </w:pPr>
          </w:p>
          <w:p>
            <w:pPr>
              <w:rPr>
                <w:rFonts w:hint="eastAsia" w:ascii="楷体" w:hAnsi="楷体" w:eastAsia="楷体" w:cs="Times New Roman"/>
                <w:bCs/>
                <w:szCs w:val="21"/>
                <w:lang w:val="en-US" w:eastAsia="zh-CN"/>
              </w:rPr>
            </w:pPr>
          </w:p>
          <w:p>
            <w:pPr>
              <w:rPr>
                <w:rFonts w:hint="eastAsia" w:ascii="楷体" w:hAnsi="楷体" w:eastAsia="楷体" w:cs="Times New Roman"/>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498" w:type="pct"/>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产品和服务要求的变更</w:t>
            </w:r>
          </w:p>
        </w:tc>
        <w:tc>
          <w:tcPr>
            <w:tcW w:w="356" w:type="pct"/>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Q8.2.4</w:t>
            </w:r>
          </w:p>
        </w:tc>
        <w:tc>
          <w:tcPr>
            <w:tcW w:w="3985" w:type="pct"/>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经询问，未发生合同变更及顾客要求发生变更造成与先前合同或订单要求表述存在差异的情况。</w:t>
            </w:r>
          </w:p>
        </w:tc>
        <w:tc>
          <w:tcPr>
            <w:tcW w:w="160" w:type="pct"/>
            <w:noWrap w:val="0"/>
            <w:vAlign w:val="top"/>
          </w:tcPr>
          <w:p>
            <w:pPr>
              <w:rPr>
                <w:rFonts w:hint="eastAsia" w:ascii="楷体" w:hAnsi="楷体" w:eastAsia="楷体" w:cs="Times New Roman"/>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8" w:type="pct"/>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外部提供产品、服务和过程控制</w:t>
            </w:r>
          </w:p>
        </w:tc>
        <w:tc>
          <w:tcPr>
            <w:tcW w:w="356" w:type="pct"/>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Q8.4</w:t>
            </w:r>
          </w:p>
          <w:p>
            <w:pPr>
              <w:rPr>
                <w:rFonts w:hint="eastAsia" w:ascii="楷体" w:hAnsi="楷体" w:eastAsia="楷体" w:cs="Times New Roman"/>
                <w:bCs/>
                <w:szCs w:val="21"/>
                <w:lang w:val="en-US" w:eastAsia="zh-CN"/>
              </w:rPr>
            </w:pPr>
          </w:p>
        </w:tc>
        <w:tc>
          <w:tcPr>
            <w:tcW w:w="3985" w:type="pct"/>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查阅了《合格供方名录》，抽查如下：</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序号</w:t>
            </w:r>
            <w:r>
              <w:rPr>
                <w:rFonts w:hint="eastAsia" w:ascii="楷体" w:hAnsi="楷体" w:eastAsia="楷体" w:cs="Times New Roman"/>
                <w:bCs/>
                <w:szCs w:val="21"/>
                <w:lang w:val="en-US" w:eastAsia="zh-CN"/>
              </w:rPr>
              <w:tab/>
            </w:r>
            <w:r>
              <w:rPr>
                <w:rFonts w:hint="eastAsia" w:ascii="楷体" w:hAnsi="楷体" w:eastAsia="楷体" w:cs="Times New Roman"/>
                <w:bCs/>
                <w:szCs w:val="21"/>
                <w:lang w:val="en-US" w:eastAsia="zh-CN"/>
              </w:rPr>
              <w:t>供方名称</w:t>
            </w:r>
            <w:r>
              <w:rPr>
                <w:rFonts w:hint="eastAsia" w:ascii="楷体" w:hAnsi="楷体" w:eastAsia="楷体" w:cs="Times New Roman"/>
                <w:bCs/>
                <w:szCs w:val="21"/>
                <w:lang w:val="en-US" w:eastAsia="zh-CN"/>
              </w:rPr>
              <w:tab/>
            </w:r>
            <w:r>
              <w:rPr>
                <w:rFonts w:hint="eastAsia" w:ascii="楷体" w:hAnsi="楷体" w:eastAsia="楷体" w:cs="Times New Roman"/>
                <w:bCs/>
                <w:szCs w:val="21"/>
                <w:lang w:val="en-US" w:eastAsia="zh-CN"/>
              </w:rPr>
              <w:t xml:space="preserve">                     提供产品名称</w:t>
            </w:r>
            <w:r>
              <w:rPr>
                <w:rFonts w:hint="eastAsia" w:ascii="楷体" w:hAnsi="楷体" w:eastAsia="楷体" w:cs="Times New Roman"/>
                <w:bCs/>
                <w:szCs w:val="21"/>
                <w:lang w:val="en-US" w:eastAsia="zh-CN"/>
              </w:rPr>
              <w:tab/>
            </w:r>
            <w:r>
              <w:rPr>
                <w:rFonts w:hint="eastAsia" w:ascii="楷体" w:hAnsi="楷体" w:eastAsia="楷体" w:cs="Times New Roman"/>
                <w:bCs/>
                <w:szCs w:val="21"/>
                <w:lang w:val="en-US" w:eastAsia="zh-CN"/>
              </w:rPr>
              <w:t xml:space="preserve">                                          </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1      河北科学纺织研究所</w:t>
            </w:r>
            <w:r>
              <w:rPr>
                <w:rFonts w:hint="eastAsia" w:ascii="楷体" w:hAnsi="楷体" w:eastAsia="楷体" w:cs="Times New Roman"/>
                <w:bCs/>
                <w:szCs w:val="21"/>
                <w:lang w:val="en-US" w:eastAsia="zh-CN"/>
              </w:rPr>
              <w:tab/>
            </w:r>
            <w:r>
              <w:rPr>
                <w:rFonts w:hint="eastAsia" w:ascii="楷体" w:hAnsi="楷体" w:eastAsia="楷体" w:cs="Times New Roman"/>
                <w:bCs/>
                <w:szCs w:val="21"/>
                <w:lang w:val="en-US" w:eastAsia="zh-CN"/>
              </w:rPr>
              <w:t xml:space="preserve">             纺织品</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2    石家庄仑美贸易有限公司</w:t>
            </w:r>
            <w:r>
              <w:rPr>
                <w:rFonts w:hint="eastAsia" w:ascii="楷体" w:hAnsi="楷体" w:eastAsia="楷体" w:cs="Times New Roman"/>
                <w:bCs/>
                <w:szCs w:val="21"/>
                <w:lang w:val="en-US" w:eastAsia="zh-CN"/>
              </w:rPr>
              <w:tab/>
            </w:r>
            <w:r>
              <w:rPr>
                <w:rFonts w:hint="eastAsia" w:ascii="楷体" w:hAnsi="楷体" w:eastAsia="楷体" w:cs="Times New Roman"/>
                <w:bCs/>
                <w:szCs w:val="21"/>
                <w:lang w:val="en-US" w:eastAsia="zh-CN"/>
              </w:rPr>
              <w:t xml:space="preserve">              布料</w:t>
            </w:r>
            <w:r>
              <w:rPr>
                <w:rFonts w:hint="eastAsia" w:ascii="楷体" w:hAnsi="楷体" w:eastAsia="楷体" w:cs="Times New Roman"/>
                <w:bCs/>
                <w:szCs w:val="21"/>
                <w:lang w:val="en-US" w:eastAsia="zh-CN"/>
              </w:rPr>
              <w:tab/>
            </w:r>
            <w:r>
              <w:rPr>
                <w:rFonts w:hint="eastAsia" w:ascii="楷体" w:hAnsi="楷体" w:eastAsia="楷体" w:cs="Times New Roman"/>
                <w:bCs/>
                <w:szCs w:val="21"/>
                <w:lang w:val="en-US" w:eastAsia="zh-CN"/>
              </w:rPr>
              <w:t xml:space="preserve">          </w:t>
            </w:r>
          </w:p>
          <w:p>
            <w:pPr>
              <w:rPr>
                <w:rFonts w:hint="eastAsia" w:ascii="楷体" w:hAnsi="楷体" w:eastAsia="楷体" w:cs="Times New Roman"/>
                <w:bCs/>
                <w:szCs w:val="21"/>
                <w:lang w:val="en-US" w:eastAsia="zh-CN"/>
              </w:rPr>
            </w:pPr>
            <w:bookmarkStart w:id="0" w:name="_Hlk89435663"/>
            <w:r>
              <w:rPr>
                <w:rFonts w:hint="eastAsia" w:ascii="楷体" w:hAnsi="楷体" w:eastAsia="楷体" w:cs="Times New Roman"/>
                <w:bCs/>
                <w:szCs w:val="21"/>
                <w:lang w:val="en-US" w:eastAsia="zh-CN"/>
              </w:rPr>
              <w:t xml:space="preserve">3    </w:t>
            </w:r>
            <w:bookmarkEnd w:id="0"/>
            <w:r>
              <w:rPr>
                <w:rFonts w:hint="eastAsia" w:ascii="楷体" w:hAnsi="楷体" w:eastAsia="楷体" w:cs="Times New Roman"/>
                <w:bCs/>
                <w:szCs w:val="21"/>
                <w:lang w:val="en-US" w:eastAsia="zh-CN"/>
              </w:rPr>
              <w:t xml:space="preserve">石家庄圣佳服饰有限公司               配饰                                                                                                                                 </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提供了：针对以上合格供方提供：2022年 1月5日《供方评定记录表》3份，分别对上述供方进行了评价，评价内容主要包括：资质、产品质量、设备能力及技术水平、供货期、服务，评价结果：质量合格、送货及时、价格合理、服务较好，同意列入合格供方。评价人李少飞、李聪等，批准</w:t>
            </w:r>
            <w:r>
              <w:rPr>
                <w:rFonts w:hint="eastAsia" w:ascii="宋体" w:hAnsi="宋体" w:eastAsia="宋体"/>
                <w:sz w:val="24"/>
                <w:lang w:eastAsia="zh-CN"/>
              </w:rPr>
              <w:t>李双清</w:t>
            </w:r>
            <w:r>
              <w:rPr>
                <w:rFonts w:hint="eastAsia" w:ascii="宋体" w:hAnsi="宋体" w:eastAsia="宋体"/>
                <w:sz w:val="24"/>
              </w:rPr>
              <w:t xml:space="preserve"> </w:t>
            </w:r>
            <w:r>
              <w:rPr>
                <w:rFonts w:hint="eastAsia" w:ascii="楷体" w:hAnsi="楷体" w:eastAsia="楷体" w:cs="Times New Roman"/>
                <w:bCs/>
                <w:szCs w:val="21"/>
                <w:lang w:val="en-US" w:eastAsia="zh-CN"/>
              </w:rPr>
              <w:t>。</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查看采购订单，</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抽查：2022年3月22日采购河北科学纺织研究所，果绿色纺织品5502米、浅蓝纺织品656.2米等等。</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抽：2022年2月22日采购石家庄仑美贸易有限公司，果绿防静电布料5323.4米</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抽：2021年12月23日采购石家庄圣佳服饰有限公司QUICK大标，20000只</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外包过程：无。</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传递给供方的采购信息能够满足采购要求。</w:t>
            </w:r>
          </w:p>
        </w:tc>
        <w:tc>
          <w:tcPr>
            <w:tcW w:w="160" w:type="pct"/>
            <w:noWrap w:val="0"/>
            <w:vAlign w:val="top"/>
          </w:tcPr>
          <w:p>
            <w:pPr>
              <w:rPr>
                <w:rFonts w:hint="eastAsia" w:ascii="楷体" w:hAnsi="楷体" w:eastAsia="楷体" w:cs="Times New Roman"/>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8" w:type="pct"/>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生产和服务提供的控制</w:t>
            </w:r>
          </w:p>
        </w:tc>
        <w:tc>
          <w:tcPr>
            <w:tcW w:w="356" w:type="pct"/>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Q8.5.1</w:t>
            </w:r>
          </w:p>
        </w:tc>
        <w:tc>
          <w:tcPr>
            <w:tcW w:w="3985" w:type="pct"/>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《管理手册》中规定了服务过程受控条件。得到工作指标、任务单。</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●根据项目要求，采购部下达任务单，包括项目编号、服务内容、完成时限等。</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●获得和使用适宜的监视测量资源：对服务质量进行检查、对顾客满意度进行调查，制定对应表格。</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●抽查过程监视和测量情况，提供了服务过程记录及检验记录。对各工序等过程的监控记录予以控制。</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查：2022年1月10号《服务工作质量检查表》，针对李少飞、李聪等销售服务人员的仪表仪容、服务技能、服务态度、工作纪律进行考核，考核结果：合格，考核人：聂艳丽、李双清</w:t>
            </w:r>
          </w:p>
          <w:p>
            <w:pPr>
              <w:rPr>
                <w:rFonts w:hint="default" w:ascii="楷体" w:hAnsi="楷体" w:eastAsia="楷体" w:cs="Times New Roman"/>
                <w:bCs/>
                <w:szCs w:val="21"/>
                <w:lang w:val="en-US" w:eastAsia="zh-CN"/>
              </w:rPr>
            </w:pPr>
            <w:r>
              <w:rPr>
                <w:rFonts w:hint="eastAsia" w:ascii="楷体" w:hAnsi="楷体" w:eastAsia="楷体" w:cs="Times New Roman"/>
                <w:bCs/>
                <w:szCs w:val="21"/>
                <w:lang w:val="en-US" w:eastAsia="zh-CN"/>
              </w:rPr>
              <w:t>查2022年1月15日《管理人员/服务人员 2022年度考核评估表》，针李聪、李少飞对服务绩效、个人表现进行评估，评估结果：合格，评估人：聂艳丽、李双清</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查《销售服务检查记录》，2022年1月31日、2022年3月31日、2022年5月31日的检查记录，均复合要求</w:t>
            </w:r>
          </w:p>
          <w:p>
            <w:pPr>
              <w:pStyle w:val="2"/>
              <w:rPr>
                <w:rFonts w:hint="default"/>
                <w:lang w:val="en-US" w:eastAsia="zh-CN"/>
              </w:rPr>
            </w:pPr>
            <w:r>
              <w:drawing>
                <wp:inline distT="0" distB="0" distL="114300" distR="114300">
                  <wp:extent cx="3239135" cy="2066925"/>
                  <wp:effectExtent l="0" t="0" r="1206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239135" cy="2066925"/>
                          </a:xfrm>
                          <a:prstGeom prst="rect">
                            <a:avLst/>
                          </a:prstGeom>
                          <a:noFill/>
                          <a:ln>
                            <a:noFill/>
                          </a:ln>
                        </pic:spPr>
                      </pic:pic>
                    </a:graphicData>
                  </a:graphic>
                </wp:inline>
              </w:drawing>
            </w:r>
            <w:r>
              <w:drawing>
                <wp:inline distT="0" distB="0" distL="114300" distR="114300">
                  <wp:extent cx="3145155" cy="1975485"/>
                  <wp:effectExtent l="0" t="0" r="4445" b="57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3145155" cy="1975485"/>
                          </a:xfrm>
                          <a:prstGeom prst="rect">
                            <a:avLst/>
                          </a:prstGeom>
                          <a:noFill/>
                          <a:ln>
                            <a:noFill/>
                          </a:ln>
                        </pic:spPr>
                      </pic:pic>
                    </a:graphicData>
                  </a:graphic>
                </wp:inline>
              </w:drawing>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●使用适宜的设备和过程环境：有台式电脑、复印机、打印机、传真机、展板等办公用品，可以满足工作需要。设备数量保证，维修及时。查见办公现场整洁，电脑、传真、打印机及网络运行正常。</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●指派胜任的人员，包括所要求的资格，见Q7.2记录。</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●需要确认的过程：查管理手册，该公司目前经识别确认的特殊过程为销售服务过程。</w:t>
            </w:r>
            <w:r>
              <w:rPr>
                <w:rFonts w:hint="eastAsia" w:ascii="楷体" w:hAnsi="楷体" w:eastAsia="楷体" w:cs="Times New Roman"/>
                <w:bCs/>
                <w:szCs w:val="21"/>
                <w:lang w:val="zh-CN" w:eastAsia="zh-CN"/>
              </w:rPr>
              <w:t>需确认过程：销售服务过程，</w:t>
            </w:r>
            <w:r>
              <w:rPr>
                <w:rFonts w:hint="eastAsia" w:ascii="楷体" w:hAnsi="楷体" w:eastAsia="楷体" w:cs="Times New Roman"/>
                <w:bCs/>
                <w:szCs w:val="21"/>
                <w:lang w:val="en-US" w:eastAsia="zh-CN"/>
              </w:rPr>
              <w:t>查见《销售服务人员2022年度人员能力确认表》，对该过程从工作人员能力、服务技巧、个人表现、工作流程等方面进行了确认评价。确认结论：满足要求。确认人：聂艳丽 李双清， 时间:2022.1.10。</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●通过对客户分类、区域标识，专人负责专项管理，批次归档保存等措施防止人为差错的发生。</w:t>
            </w:r>
            <w:r>
              <w:rPr>
                <w:rFonts w:hint="eastAsia" w:ascii="楷体" w:hAnsi="楷体" w:eastAsia="楷体" w:cs="Times New Roman"/>
                <w:bCs/>
                <w:szCs w:val="21"/>
                <w:lang w:val="en-US" w:eastAsia="zh-CN"/>
              </w:rPr>
              <w:br w:type="textWrapping"/>
            </w:r>
            <w:r>
              <w:rPr>
                <w:rFonts w:hint="eastAsia" w:ascii="楷体" w:hAnsi="楷体" w:eastAsia="楷体" w:cs="Times New Roman"/>
                <w:bCs/>
                <w:szCs w:val="21"/>
                <w:lang w:val="en-US" w:eastAsia="zh-CN"/>
              </w:rPr>
              <w:t>●服务完成后通知客户确认，销售部通过电话/网络跟踪沟通及定期拜访等方式确认交付及交付后服务的满意程度，做好售后服务工作，详见Q9.1.2审核记录。</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●查见行政部电脑、传真、打印机及网络运行正常；物品放置基本有秩序。</w:t>
            </w:r>
          </w:p>
        </w:tc>
        <w:tc>
          <w:tcPr>
            <w:tcW w:w="160" w:type="pct"/>
            <w:noWrap w:val="0"/>
            <w:vAlign w:val="top"/>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8" w:type="pct"/>
            <w:noWrap w:val="0"/>
            <w:vAlign w:val="top"/>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标识和可追溯性</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顾客或外供方财产</w:t>
            </w:r>
          </w:p>
        </w:tc>
        <w:tc>
          <w:tcPr>
            <w:tcW w:w="356" w:type="pct"/>
            <w:noWrap w:val="0"/>
            <w:vAlign w:val="top"/>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Q 8.5.2</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8.5.3</w:t>
            </w:r>
          </w:p>
          <w:p>
            <w:pPr>
              <w:rPr>
                <w:rFonts w:hint="eastAsia" w:ascii="楷体" w:hAnsi="楷体" w:eastAsia="楷体" w:cs="Times New Roman"/>
                <w:bCs/>
                <w:szCs w:val="21"/>
                <w:lang w:val="en-US" w:eastAsia="zh-CN"/>
              </w:rPr>
            </w:pPr>
          </w:p>
        </w:tc>
        <w:tc>
          <w:tcPr>
            <w:tcW w:w="3985" w:type="pct"/>
            <w:noWrap w:val="0"/>
            <w:vAlign w:val="center"/>
          </w:tcPr>
          <w:p>
            <w:pPr>
              <w:rPr>
                <w:rFonts w:hint="eastAsia" w:ascii="楷体" w:hAnsi="楷体" w:eastAsia="楷体" w:cs="Times New Roman"/>
                <w:bCs/>
                <w:szCs w:val="21"/>
                <w:lang w:val="en-GB" w:eastAsia="zh-CN"/>
              </w:rPr>
            </w:pPr>
            <w:r>
              <w:rPr>
                <w:rFonts w:hint="eastAsia" w:ascii="楷体" w:hAnsi="楷体" w:eastAsia="楷体" w:cs="Times New Roman"/>
                <w:bCs/>
                <w:szCs w:val="21"/>
                <w:lang w:val="en-US" w:eastAsia="zh-CN"/>
              </w:rPr>
              <w:t>销售人员</w:t>
            </w:r>
            <w:r>
              <w:rPr>
                <w:rFonts w:hint="eastAsia" w:ascii="楷体" w:hAnsi="楷体" w:eastAsia="楷体" w:cs="Times New Roman"/>
                <w:bCs/>
                <w:szCs w:val="21"/>
                <w:lang w:val="en-GB" w:eastAsia="zh-CN"/>
              </w:rPr>
              <w:t>每次配送商品都要将商品的有关信息进行记录，保持商品在销售及售后的全过程中处于可识别状态，以销售人员在销售文件和资料上的签字或印章为标识,工作人员、销售人员服务质量以销售部经理、公司的考核评价、月检查评定为状态标识。</w:t>
            </w:r>
          </w:p>
          <w:p>
            <w:pPr>
              <w:rPr>
                <w:rFonts w:hint="eastAsia" w:ascii="楷体" w:hAnsi="楷体" w:eastAsia="楷体" w:cs="Times New Roman"/>
                <w:bCs/>
                <w:szCs w:val="21"/>
                <w:lang w:val="en-GB" w:eastAsia="zh-CN"/>
              </w:rPr>
            </w:pPr>
            <w:r>
              <w:rPr>
                <w:rFonts w:hint="eastAsia" w:ascii="楷体" w:hAnsi="楷体" w:eastAsia="楷体" w:cs="Times New Roman"/>
                <w:bCs/>
                <w:szCs w:val="21"/>
                <w:lang w:val="en-GB" w:eastAsia="zh-CN"/>
              </w:rPr>
              <w:t>在</w:t>
            </w:r>
            <w:r>
              <w:rPr>
                <w:rFonts w:hint="eastAsia" w:ascii="楷体" w:hAnsi="楷体" w:eastAsia="楷体" w:cs="Times New Roman"/>
                <w:bCs/>
                <w:szCs w:val="21"/>
                <w:lang w:val="en-US" w:eastAsia="zh-CN"/>
              </w:rPr>
              <w:t>该</w:t>
            </w:r>
            <w:r>
              <w:rPr>
                <w:rFonts w:hint="eastAsia" w:ascii="楷体" w:hAnsi="楷体" w:eastAsia="楷体" w:cs="Times New Roman"/>
                <w:bCs/>
                <w:szCs w:val="21"/>
                <w:lang w:val="en-GB" w:eastAsia="zh-CN"/>
              </w:rPr>
              <w:t xml:space="preserve">单位控制下或本单位使用的顾客财产，识别、验证、保护和维护供其使用或构成产品一部分的顾客财产，顾客财产一般包括：a) 顾客已付款或已定货未提的商品；b) 顾客自带的车辆及装运工具设备等。 </w:t>
            </w:r>
          </w:p>
          <w:p>
            <w:pPr>
              <w:rPr>
                <w:rFonts w:hint="eastAsia" w:ascii="楷体" w:hAnsi="楷体" w:eastAsia="楷体" w:cs="Times New Roman"/>
                <w:bCs/>
                <w:szCs w:val="21"/>
                <w:lang w:val="en-GB" w:eastAsia="zh-CN"/>
              </w:rPr>
            </w:pPr>
            <w:r>
              <w:rPr>
                <w:rFonts w:hint="eastAsia" w:ascii="楷体" w:hAnsi="楷体" w:eastAsia="楷体" w:cs="Times New Roman"/>
                <w:bCs/>
                <w:szCs w:val="21"/>
                <w:lang w:val="en-US" w:eastAsia="zh-CN"/>
              </w:rPr>
              <w:t>销售部</w:t>
            </w:r>
            <w:r>
              <w:rPr>
                <w:rFonts w:hint="eastAsia" w:ascii="楷体" w:hAnsi="楷体" w:eastAsia="楷体" w:cs="Times New Roman"/>
                <w:bCs/>
                <w:szCs w:val="21"/>
                <w:lang w:val="en-GB" w:eastAsia="zh-CN"/>
              </w:rPr>
              <w:t>部负责接收和验证顾客提供的财产，并记录验证结果。</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销售部</w:t>
            </w:r>
            <w:r>
              <w:rPr>
                <w:rFonts w:hint="eastAsia" w:ascii="楷体" w:hAnsi="楷体" w:eastAsia="楷体" w:cs="Times New Roman"/>
                <w:bCs/>
                <w:szCs w:val="21"/>
                <w:lang w:val="en-GB" w:eastAsia="zh-CN"/>
              </w:rPr>
              <w:t>负责维护和使用顾客财产，若顾客财产发生丢失、损坏或发现不适用的情况时，应报告顾客，并保持记录。</w:t>
            </w:r>
          </w:p>
        </w:tc>
        <w:tc>
          <w:tcPr>
            <w:tcW w:w="160" w:type="pct"/>
            <w:noWrap w:val="0"/>
            <w:vAlign w:val="top"/>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498" w:type="pct"/>
            <w:noWrap w:val="0"/>
            <w:vAlign w:val="top"/>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防护</w:t>
            </w:r>
          </w:p>
          <w:p>
            <w:pPr>
              <w:rPr>
                <w:rFonts w:hint="eastAsia" w:ascii="楷体" w:hAnsi="楷体" w:eastAsia="楷体" w:cs="Times New Roman"/>
                <w:bCs/>
                <w:szCs w:val="21"/>
                <w:lang w:val="en-US" w:eastAsia="zh-CN"/>
              </w:rPr>
            </w:pPr>
          </w:p>
        </w:tc>
        <w:tc>
          <w:tcPr>
            <w:tcW w:w="356" w:type="pct"/>
            <w:noWrap w:val="0"/>
            <w:vAlign w:val="top"/>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Q8.5.4</w:t>
            </w:r>
          </w:p>
        </w:tc>
        <w:tc>
          <w:tcPr>
            <w:tcW w:w="3985" w:type="pct"/>
            <w:noWrap w:val="0"/>
            <w:vAlign w:val="top"/>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企业根据客户需求下达采购订单，经检验合格后，产品放置在规定的区域，避免日晒、雨淋等，现场查看，产品的防护基本符合要求，产品在搬运过程中规定轻搬轻放，专区分类存放。</w:t>
            </w:r>
          </w:p>
        </w:tc>
        <w:tc>
          <w:tcPr>
            <w:tcW w:w="160" w:type="pct"/>
            <w:noWrap w:val="0"/>
            <w:vAlign w:val="top"/>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498" w:type="pct"/>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交付后的活动</w:t>
            </w:r>
          </w:p>
          <w:p>
            <w:pPr>
              <w:rPr>
                <w:rFonts w:hint="eastAsia" w:ascii="楷体" w:hAnsi="楷体" w:eastAsia="楷体" w:cs="Times New Roman"/>
                <w:bCs/>
                <w:szCs w:val="21"/>
                <w:lang w:val="en-US" w:eastAsia="zh-CN"/>
              </w:rPr>
            </w:pPr>
          </w:p>
        </w:tc>
        <w:tc>
          <w:tcPr>
            <w:tcW w:w="356" w:type="pct"/>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Q8.5.5</w:t>
            </w:r>
          </w:p>
          <w:p>
            <w:pPr>
              <w:rPr>
                <w:rFonts w:hint="eastAsia" w:ascii="楷体" w:hAnsi="楷体" w:eastAsia="楷体" w:cs="Times New Roman"/>
                <w:bCs/>
                <w:szCs w:val="21"/>
                <w:lang w:val="en-US" w:eastAsia="zh-CN"/>
              </w:rPr>
            </w:pPr>
          </w:p>
        </w:tc>
        <w:tc>
          <w:tcPr>
            <w:tcW w:w="3985" w:type="pct"/>
            <w:noWrap w:val="0"/>
            <w:vAlign w:val="center"/>
          </w:tcPr>
          <w:p>
            <w:pPr>
              <w:rPr>
                <w:rFonts w:hint="eastAsia" w:ascii="楷体" w:hAnsi="楷体" w:eastAsia="楷体" w:cs="Times New Roman"/>
                <w:bCs/>
                <w:szCs w:val="21"/>
                <w:lang w:val="en-US" w:eastAsia="zh-CN"/>
              </w:rPr>
            </w:pPr>
          </w:p>
          <w:p>
            <w:pPr>
              <w:rPr>
                <w:rFonts w:hint="eastAsia" w:ascii="楷体" w:hAnsi="楷体" w:eastAsia="楷体" w:cs="Times New Roman"/>
                <w:bCs/>
                <w:szCs w:val="21"/>
                <w:lang w:val="en-GB" w:eastAsia="zh-CN"/>
              </w:rPr>
            </w:pPr>
            <w:r>
              <w:rPr>
                <w:rFonts w:hint="eastAsia" w:ascii="楷体" w:hAnsi="楷体" w:eastAsia="楷体" w:cs="Times New Roman"/>
                <w:bCs/>
                <w:szCs w:val="21"/>
                <w:lang w:val="en-GB" w:eastAsia="zh-CN"/>
              </w:rPr>
              <w:t>该公司交付后主要是</w:t>
            </w:r>
            <w:r>
              <w:rPr>
                <w:rFonts w:hint="eastAsia" w:ascii="楷体" w:hAnsi="楷体" w:eastAsia="楷体" w:cs="Times New Roman"/>
                <w:bCs/>
                <w:szCs w:val="21"/>
                <w:lang w:val="en-US" w:eastAsia="zh-CN"/>
              </w:rPr>
              <w:t>上门安装地板或维修更换地板</w:t>
            </w:r>
            <w:r>
              <w:rPr>
                <w:rFonts w:hint="eastAsia" w:ascii="楷体" w:hAnsi="楷体" w:eastAsia="楷体" w:cs="Times New Roman"/>
                <w:bCs/>
                <w:szCs w:val="21"/>
                <w:lang w:val="en-GB" w:eastAsia="zh-CN"/>
              </w:rPr>
              <w:t>，同时跟踪项目进度、顾客回访、顾客反馈、顾客满意度调查等形式进行。与该部门负责人交流，该公司根据顾客交付后一周内进行电话进行顾客回访，无不满意情况发生，体系运行至今无顾客不良反馈。</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采购的物质经验收合格后由仓库进行管理；销售的产品根据数量的多少、发运的地点及包装要求由销售人员联系物流，在规定的时间内将产品送到客户指定地点。</w:t>
            </w:r>
          </w:p>
          <w:p>
            <w:pPr>
              <w:rPr>
                <w:rFonts w:hint="eastAsia" w:ascii="楷体" w:hAnsi="楷体" w:eastAsia="楷体" w:cs="Times New Roman"/>
                <w:bCs/>
                <w:szCs w:val="21"/>
                <w:lang w:val="en-US" w:eastAsia="zh-CN"/>
              </w:rPr>
            </w:pPr>
          </w:p>
        </w:tc>
        <w:tc>
          <w:tcPr>
            <w:tcW w:w="160" w:type="pct"/>
            <w:noWrap w:val="0"/>
            <w:vAlign w:val="top"/>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8" w:type="pct"/>
            <w:noWrap w:val="0"/>
            <w:vAlign w:val="center"/>
          </w:tcPr>
          <w:p>
            <w:pPr>
              <w:rPr>
                <w:rFonts w:hint="eastAsia" w:ascii="楷体" w:hAnsi="楷体" w:eastAsia="楷体" w:cs="Times New Roman"/>
                <w:bCs/>
                <w:szCs w:val="21"/>
                <w:lang w:val="en-GB" w:eastAsia="zh-CN"/>
              </w:rPr>
            </w:pPr>
            <w:r>
              <w:rPr>
                <w:rFonts w:hint="eastAsia" w:ascii="楷体" w:hAnsi="楷体" w:eastAsia="楷体" w:cs="Times New Roman"/>
                <w:bCs/>
                <w:szCs w:val="21"/>
                <w:lang w:val="en-GB" w:eastAsia="zh-CN"/>
              </w:rPr>
              <w:t>更改的控制</w:t>
            </w:r>
          </w:p>
          <w:p>
            <w:pPr>
              <w:rPr>
                <w:rFonts w:hint="eastAsia" w:ascii="楷体" w:hAnsi="楷体" w:eastAsia="楷体" w:cs="Times New Roman"/>
                <w:bCs/>
                <w:szCs w:val="21"/>
                <w:lang w:val="en-US" w:eastAsia="zh-CN"/>
              </w:rPr>
            </w:pPr>
          </w:p>
        </w:tc>
        <w:tc>
          <w:tcPr>
            <w:tcW w:w="356" w:type="pct"/>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Q8.5.6</w:t>
            </w:r>
          </w:p>
          <w:p>
            <w:pPr>
              <w:rPr>
                <w:rFonts w:hint="eastAsia" w:ascii="楷体" w:hAnsi="楷体" w:eastAsia="楷体" w:cs="Times New Roman"/>
                <w:bCs/>
                <w:szCs w:val="21"/>
                <w:lang w:val="en-US" w:eastAsia="zh-CN"/>
              </w:rPr>
            </w:pPr>
          </w:p>
        </w:tc>
        <w:tc>
          <w:tcPr>
            <w:tcW w:w="3985" w:type="pct"/>
            <w:noWrap w:val="0"/>
            <w:vAlign w:val="center"/>
          </w:tcPr>
          <w:p>
            <w:pPr>
              <w:rPr>
                <w:rFonts w:hint="eastAsia" w:ascii="楷体" w:hAnsi="楷体" w:eastAsia="楷体" w:cs="Times New Roman"/>
                <w:bCs/>
                <w:szCs w:val="21"/>
                <w:lang w:val="en-GB" w:eastAsia="zh-CN"/>
              </w:rPr>
            </w:pPr>
            <w:r>
              <w:rPr>
                <w:rFonts w:hint="eastAsia" w:ascii="楷体" w:hAnsi="楷体" w:eastAsia="楷体" w:cs="Times New Roman"/>
                <w:bCs/>
                <w:szCs w:val="21"/>
                <w:lang w:val="en-GB" w:eastAsia="zh-CN"/>
              </w:rPr>
              <w:t>组织应对销售合同的更改进行评审，以确保稳定的符合要求。</w:t>
            </w:r>
          </w:p>
          <w:p>
            <w:pPr>
              <w:rPr>
                <w:rFonts w:hint="eastAsia" w:ascii="楷体" w:hAnsi="楷体" w:eastAsia="楷体" w:cs="Times New Roman"/>
                <w:bCs/>
                <w:szCs w:val="21"/>
                <w:lang w:val="en-GB" w:eastAsia="zh-CN"/>
              </w:rPr>
            </w:pPr>
            <w:r>
              <w:rPr>
                <w:rFonts w:hint="eastAsia" w:ascii="楷体" w:hAnsi="楷体" w:eastAsia="楷体" w:cs="Times New Roman"/>
                <w:bCs/>
                <w:szCs w:val="21"/>
                <w:lang w:val="en-GB" w:eastAsia="zh-CN"/>
              </w:rPr>
              <w:t>组织应保留形成文件的信息，包括有关更改评审结果、授权进行更改的人员以及根据评审所采取的必要措施。</w:t>
            </w:r>
          </w:p>
          <w:p>
            <w:pPr>
              <w:rPr>
                <w:rFonts w:hint="eastAsia" w:ascii="楷体" w:hAnsi="楷体" w:eastAsia="楷体" w:cs="Times New Roman"/>
                <w:bCs/>
                <w:szCs w:val="21"/>
                <w:lang w:val="en-GB" w:eastAsia="zh-CN"/>
              </w:rPr>
            </w:pPr>
            <w:r>
              <w:rPr>
                <w:rFonts w:hint="eastAsia" w:ascii="楷体" w:hAnsi="楷体" w:eastAsia="楷体" w:cs="Times New Roman"/>
                <w:bCs/>
                <w:szCs w:val="21"/>
                <w:lang w:val="en-GB" w:eastAsia="zh-CN"/>
              </w:rPr>
              <w:t>经询问，体系运行至今无更改情况发生。</w:t>
            </w:r>
          </w:p>
          <w:p>
            <w:pPr>
              <w:rPr>
                <w:rFonts w:hint="eastAsia" w:ascii="楷体" w:hAnsi="楷体" w:eastAsia="楷体" w:cs="Times New Roman"/>
                <w:bCs/>
                <w:szCs w:val="21"/>
                <w:lang w:val="en-US" w:eastAsia="zh-CN"/>
              </w:rPr>
            </w:pPr>
          </w:p>
        </w:tc>
        <w:tc>
          <w:tcPr>
            <w:tcW w:w="160" w:type="pct"/>
            <w:noWrap w:val="0"/>
            <w:vAlign w:val="top"/>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8" w:type="pct"/>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检验验收</w:t>
            </w:r>
          </w:p>
        </w:tc>
        <w:tc>
          <w:tcPr>
            <w:tcW w:w="356" w:type="pct"/>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Q8.6</w:t>
            </w:r>
          </w:p>
          <w:p>
            <w:pPr>
              <w:rPr>
                <w:rFonts w:hint="eastAsia" w:ascii="楷体" w:hAnsi="楷体" w:eastAsia="楷体" w:cs="Times New Roman"/>
                <w:bCs/>
                <w:szCs w:val="21"/>
                <w:lang w:val="en-US" w:eastAsia="zh-CN"/>
              </w:rPr>
            </w:pPr>
          </w:p>
        </w:tc>
        <w:tc>
          <w:tcPr>
            <w:tcW w:w="3985" w:type="pct"/>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GB" w:eastAsia="zh-CN"/>
              </w:rPr>
              <w:t>公司产品和服务的放行，需得到</w:t>
            </w:r>
            <w:r>
              <w:rPr>
                <w:rFonts w:hint="eastAsia" w:ascii="楷体" w:hAnsi="楷体" w:eastAsia="楷体" w:cs="Times New Roman"/>
                <w:bCs/>
                <w:szCs w:val="21"/>
                <w:lang w:val="en-US" w:eastAsia="zh-CN"/>
              </w:rPr>
              <w:t>销售部</w:t>
            </w:r>
            <w:r>
              <w:rPr>
                <w:rFonts w:hint="eastAsia" w:ascii="楷体" w:hAnsi="楷体" w:eastAsia="楷体" w:cs="Times New Roman"/>
                <w:bCs/>
                <w:szCs w:val="21"/>
                <w:lang w:val="en-GB" w:eastAsia="zh-CN"/>
              </w:rPr>
              <w:t>经理</w:t>
            </w:r>
            <w:r>
              <w:rPr>
                <w:rFonts w:hint="eastAsia" w:ascii="楷体" w:hAnsi="楷体" w:eastAsia="楷体" w:cs="Times New Roman"/>
                <w:bCs/>
                <w:szCs w:val="21"/>
                <w:lang w:val="en-US" w:eastAsia="zh-CN"/>
              </w:rPr>
              <w:t xml:space="preserve">李聪 </w:t>
            </w:r>
            <w:r>
              <w:rPr>
                <w:rFonts w:hint="eastAsia" w:ascii="楷体" w:hAnsi="楷体" w:eastAsia="楷体" w:cs="Times New Roman"/>
                <w:bCs/>
                <w:szCs w:val="21"/>
                <w:lang w:val="en-GB" w:eastAsia="zh-CN"/>
              </w:rPr>
              <w:t>的批准后放行。</w:t>
            </w:r>
            <w:r>
              <w:rPr>
                <w:rFonts w:hint="eastAsia" w:ascii="楷体" w:hAnsi="楷体" w:eastAsia="楷体" w:cs="Times New Roman"/>
                <w:bCs/>
                <w:szCs w:val="21"/>
                <w:lang w:val="en-US" w:eastAsia="zh-CN"/>
              </w:rPr>
              <w:t>。</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1、采购产品验收：</w:t>
            </w:r>
          </w:p>
          <w:p>
            <w:pPr>
              <w:rPr>
                <w:rFonts w:hint="default" w:ascii="楷体" w:hAnsi="楷体" w:eastAsia="楷体" w:cs="Times New Roman"/>
                <w:bCs/>
                <w:szCs w:val="21"/>
                <w:lang w:val="en-US" w:eastAsia="zh-CN"/>
              </w:rPr>
            </w:pPr>
            <w:r>
              <w:rPr>
                <w:rFonts w:hint="eastAsia" w:ascii="楷体" w:hAnsi="楷体" w:eastAsia="楷体" w:cs="Times New Roman"/>
                <w:bCs/>
                <w:szCs w:val="21"/>
                <w:lang w:val="en-US" w:eastAsia="zh-CN"/>
              </w:rPr>
              <w:t>抽1： 客户提供原材料第三方检验记录，产品：单层防水抗静电面料，时间：2022.3.25，生产单位：河北科学纺织研究所</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验证项目：详见提交证据等</w:t>
            </w:r>
          </w:p>
          <w:p>
            <w:pPr>
              <w:pStyle w:val="2"/>
              <w:rPr>
                <w:rFonts w:hint="default"/>
                <w:lang w:val="en-US" w:eastAsia="zh-CN"/>
              </w:rPr>
            </w:pPr>
            <w:r>
              <w:rPr>
                <w:rFonts w:hint="eastAsia" w:ascii="楷体" w:hAnsi="楷体" w:eastAsia="楷体" w:cs="Times New Roman"/>
                <w:bCs/>
                <w:szCs w:val="21"/>
                <w:lang w:val="en-US" w:eastAsia="zh-CN"/>
              </w:rPr>
              <w:t>检测机构：河北省纺织产品质量监督检验站</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 xml:space="preserve">结论：合格   </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 xml:space="preserve"> </w:t>
            </w:r>
          </w:p>
          <w:p>
            <w:pPr>
              <w:rPr>
                <w:rFonts w:hint="default" w:ascii="楷体" w:hAnsi="楷体" w:eastAsia="楷体" w:cs="Times New Roman"/>
                <w:bCs/>
                <w:szCs w:val="21"/>
                <w:lang w:val="en-US" w:eastAsia="zh-CN"/>
              </w:rPr>
            </w:pPr>
            <w:r>
              <w:rPr>
                <w:rFonts w:hint="eastAsia" w:ascii="楷体" w:hAnsi="楷体" w:eastAsia="楷体" w:cs="Times New Roman"/>
                <w:bCs/>
                <w:szCs w:val="21"/>
                <w:lang w:val="en-US" w:eastAsia="zh-CN"/>
              </w:rPr>
              <w:t>抽2： 客户提供原材料第三方检验记录，产品：刷手衣布料，时间：2022.4.28，生产单位：河北科学纺织研究所</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验证项目：详见提交证据等</w:t>
            </w:r>
          </w:p>
          <w:p>
            <w:pPr>
              <w:pStyle w:val="2"/>
              <w:rPr>
                <w:rFonts w:hint="default"/>
                <w:lang w:val="en-US" w:eastAsia="zh-CN"/>
              </w:rPr>
            </w:pPr>
            <w:r>
              <w:rPr>
                <w:rFonts w:hint="eastAsia" w:ascii="楷体" w:hAnsi="楷体" w:eastAsia="楷体" w:cs="Times New Roman"/>
                <w:bCs/>
                <w:szCs w:val="21"/>
                <w:lang w:val="en-US" w:eastAsia="zh-CN"/>
              </w:rPr>
              <w:t>检测机构：河北省纺织产品质量监督检验站</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 xml:space="preserve">结论：合格   </w:t>
            </w:r>
          </w:p>
          <w:p>
            <w:pPr>
              <w:rPr>
                <w:rFonts w:hint="eastAsia" w:ascii="楷体" w:hAnsi="楷体" w:eastAsia="楷体" w:cs="Times New Roman"/>
                <w:bCs/>
                <w:szCs w:val="21"/>
                <w:lang w:val="en-US" w:eastAsia="zh-CN"/>
              </w:rPr>
            </w:pPr>
          </w:p>
          <w:p>
            <w:pPr>
              <w:rPr>
                <w:rFonts w:hint="eastAsia" w:ascii="楷体" w:hAnsi="楷体" w:eastAsia="楷体" w:cs="Times New Roman"/>
                <w:bCs/>
                <w:szCs w:val="21"/>
                <w:lang w:val="en-US" w:eastAsia="zh-CN"/>
              </w:rPr>
            </w:pPr>
          </w:p>
          <w:p>
            <w:pPr>
              <w:rPr>
                <w:rFonts w:hint="default" w:ascii="楷体" w:hAnsi="楷体" w:eastAsia="楷体" w:cs="Times New Roman"/>
                <w:bCs/>
                <w:szCs w:val="21"/>
                <w:lang w:val="en-US" w:eastAsia="zh-CN"/>
              </w:rPr>
            </w:pPr>
            <w:r>
              <w:rPr>
                <w:rFonts w:hint="eastAsia" w:ascii="楷体" w:hAnsi="楷体" w:eastAsia="楷体" w:cs="Times New Roman"/>
                <w:bCs/>
                <w:szCs w:val="21"/>
                <w:lang w:val="en-US" w:eastAsia="zh-CN"/>
              </w:rPr>
              <w:t>抽3： 客户提供原材料第三方检验记录，产品：漂白段条布，时间：2022.4.28，生产单位：河北科学纺织研究所</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验证项目：详见提交证据等</w:t>
            </w:r>
          </w:p>
          <w:p>
            <w:pPr>
              <w:pStyle w:val="2"/>
              <w:rPr>
                <w:rFonts w:hint="default"/>
                <w:lang w:val="en-US" w:eastAsia="zh-CN"/>
              </w:rPr>
            </w:pPr>
            <w:r>
              <w:rPr>
                <w:rFonts w:hint="eastAsia" w:ascii="楷体" w:hAnsi="楷体" w:eastAsia="楷体" w:cs="Times New Roman"/>
                <w:bCs/>
                <w:szCs w:val="21"/>
                <w:lang w:val="en-US" w:eastAsia="zh-CN"/>
              </w:rPr>
              <w:t>检测机构：河北省纺织产品质量监督检验站</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 xml:space="preserve">结论：合格   </w:t>
            </w:r>
          </w:p>
          <w:p>
            <w:pPr>
              <w:rPr>
                <w:rFonts w:hint="eastAsia" w:ascii="楷体" w:hAnsi="楷体" w:eastAsia="楷体" w:cs="Times New Roman"/>
                <w:bCs/>
                <w:szCs w:val="21"/>
                <w:lang w:val="en-US" w:eastAsia="zh-CN"/>
              </w:rPr>
            </w:pPr>
          </w:p>
          <w:p>
            <w:pPr>
              <w:rPr>
                <w:rFonts w:hint="default" w:ascii="楷体" w:hAnsi="楷体" w:eastAsia="楷体" w:cs="Times New Roman"/>
                <w:bCs/>
                <w:szCs w:val="21"/>
                <w:lang w:val="en-US" w:eastAsia="zh-CN"/>
              </w:rPr>
            </w:pP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提供了 2022年1月对以上供应商的评价记录《供方评价表》：评价内容有：营业执照、资质情况、服务能力、负责质量等，有总经理及各部门意见。结论均为同意列入合格供方。</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 xml:space="preserve">办公室确定需要实施采购的任务，编制采购计划，经批准实施采购。公司已建立、保持与合格供方信息反馈渠道，及时沟通、保持协调，有良好的互惠关系；采购信息充分、可靠，采购产品的要求明确、适宜。 </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2、服务过程控制</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——提供医疗器械和纺织品的销售过程检查记录表，内容包括业务分析评审、政策分析评审，详见Q8.5.1；</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查产品服务交付</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——服务完成后有客户确认，提供有客户确认记录及汇款记录。</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 xml:space="preserve">  </w:t>
            </w:r>
            <w:r>
              <w:rPr>
                <w:rFonts w:hint="eastAsia" w:ascii="楷体" w:hAnsi="楷体" w:eastAsia="楷体" w:cs="Times New Roman"/>
                <w:bCs/>
                <w:szCs w:val="21"/>
                <w:lang w:val="en-US" w:eastAsia="zh-CN"/>
              </w:rPr>
              <w:drawing>
                <wp:inline distT="0" distB="0" distL="114300" distR="114300">
                  <wp:extent cx="3477895" cy="2249170"/>
                  <wp:effectExtent l="0" t="0" r="1905" b="11430"/>
                  <wp:docPr id="4" name="图片 4" descr="微信图片_20220619235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20619235843"/>
                          <pic:cNvPicPr>
                            <a:picLocks noChangeAspect="1"/>
                          </pic:cNvPicPr>
                        </pic:nvPicPr>
                        <pic:blipFill>
                          <a:blip r:embed="rId8"/>
                          <a:srcRect t="7364" b="6443"/>
                          <a:stretch>
                            <a:fillRect/>
                          </a:stretch>
                        </pic:blipFill>
                        <pic:spPr>
                          <a:xfrm>
                            <a:off x="0" y="0"/>
                            <a:ext cx="3477895" cy="2249170"/>
                          </a:xfrm>
                          <a:prstGeom prst="rect">
                            <a:avLst/>
                          </a:prstGeom>
                        </pic:spPr>
                      </pic:pic>
                    </a:graphicData>
                  </a:graphic>
                </wp:inline>
              </w:drawing>
            </w:r>
            <w:r>
              <w:drawing>
                <wp:inline distT="0" distB="0" distL="114300" distR="114300">
                  <wp:extent cx="3812540" cy="1638300"/>
                  <wp:effectExtent l="0" t="0" r="1016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9"/>
                          <a:stretch>
                            <a:fillRect/>
                          </a:stretch>
                        </pic:blipFill>
                        <pic:spPr>
                          <a:xfrm>
                            <a:off x="0" y="0"/>
                            <a:ext cx="3812540" cy="1638300"/>
                          </a:xfrm>
                          <a:prstGeom prst="rect">
                            <a:avLst/>
                          </a:prstGeom>
                          <a:noFill/>
                          <a:ln>
                            <a:noFill/>
                          </a:ln>
                        </pic:spPr>
                      </pic:pic>
                    </a:graphicData>
                  </a:graphic>
                </wp:inline>
              </w:drawing>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查见《人员考核记录》，内容包括：考核项目、要求、考核办法、考核情况、判定、检查人、检查日期等。</w:t>
            </w:r>
          </w:p>
        </w:tc>
        <w:tc>
          <w:tcPr>
            <w:tcW w:w="160" w:type="pct"/>
            <w:noWrap w:val="0"/>
            <w:vAlign w:val="top"/>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8" w:type="pct"/>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不合格控制</w:t>
            </w:r>
          </w:p>
        </w:tc>
        <w:tc>
          <w:tcPr>
            <w:tcW w:w="356" w:type="pct"/>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Q8.7</w:t>
            </w:r>
          </w:p>
        </w:tc>
        <w:tc>
          <w:tcPr>
            <w:tcW w:w="3985" w:type="pct"/>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编制了不符合控制程序，内容符合标准要求。对不合格品处置的方式包括：退货和报废。查见《不合格品台帐》，内容包括：日期、不合格品名称、责任人、不合格原因、处置情况、检验员、备注。要求对不合格产品在台帐上进行登记和处理。</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自体系运行以来未发生过不合格情况，如以后有不合格情况，则按照不合格品控制程序。</w:t>
            </w:r>
          </w:p>
        </w:tc>
        <w:tc>
          <w:tcPr>
            <w:tcW w:w="160" w:type="pct"/>
            <w:noWrap w:val="0"/>
            <w:vAlign w:val="top"/>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498" w:type="pct"/>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绩效测量和监视</w:t>
            </w:r>
          </w:p>
        </w:tc>
        <w:tc>
          <w:tcPr>
            <w:tcW w:w="356" w:type="pct"/>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Q9.1.1</w:t>
            </w:r>
          </w:p>
          <w:p>
            <w:pPr>
              <w:rPr>
                <w:rFonts w:hint="eastAsia" w:ascii="楷体" w:hAnsi="楷体" w:eastAsia="楷体" w:cs="Times New Roman"/>
                <w:bCs/>
                <w:szCs w:val="21"/>
                <w:lang w:val="en-US" w:eastAsia="zh-CN"/>
              </w:rPr>
            </w:pPr>
          </w:p>
        </w:tc>
        <w:tc>
          <w:tcPr>
            <w:tcW w:w="3985" w:type="pct"/>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公司编制了《顾客满意测量控制程序》，对厨具 、制冷空调设备、厨房专用设备的销售的质量特性进行监视和测量，以验证其符合要求的程度，确保服务符合要求。</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公司制定《内部审核控制程序》 、《管理评审控制程序》为保证公司质量管理体系的有效运行，通过对管理绩效的监视与测量，确保体系运行的有效性。</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目标均完成。</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服务过程控制</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——查：2022年1月10号《服务工作质量检查表》，针对李少飞、李聪等销售服务人员的仪表仪容、服务技能、服务态度、工作纪律进行考核，考核结果：合格，考核人：聂艳丽、李双清</w:t>
            </w:r>
          </w:p>
          <w:p>
            <w:pPr>
              <w:rPr>
                <w:rFonts w:hint="default" w:ascii="楷体" w:hAnsi="楷体" w:eastAsia="楷体" w:cs="Times New Roman"/>
                <w:bCs/>
                <w:szCs w:val="21"/>
                <w:lang w:val="en-US" w:eastAsia="zh-CN"/>
              </w:rPr>
            </w:pPr>
            <w:r>
              <w:rPr>
                <w:rFonts w:hint="eastAsia" w:ascii="楷体" w:hAnsi="楷体" w:eastAsia="楷体" w:cs="Times New Roman"/>
                <w:bCs/>
                <w:szCs w:val="21"/>
                <w:lang w:val="en-US" w:eastAsia="zh-CN"/>
              </w:rPr>
              <w:t>查2022年1月15日《管理人员/服务人员 2022年度考核评估表》，针李聪、李少飞对服务绩效、个人表现进行评估，评估结果：合格，评估人：聂艳丽、李双清</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查《销售服务检查记录》，2022年1月31日、2022年3月31日、2022年5月31日的检查记录，均复合要求</w:t>
            </w:r>
          </w:p>
          <w:p>
            <w:pPr>
              <w:rPr>
                <w:rFonts w:hint="default" w:ascii="楷体" w:hAnsi="楷体" w:eastAsia="楷体" w:cs="Times New Roman"/>
                <w:bCs/>
                <w:szCs w:val="21"/>
                <w:lang w:val="en-US" w:eastAsia="zh-CN"/>
              </w:rPr>
            </w:pPr>
            <w:r>
              <w:rPr>
                <w:rFonts w:hint="eastAsia" w:ascii="楷体" w:hAnsi="楷体" w:eastAsia="楷体" w:cs="Times New Roman"/>
                <w:bCs/>
                <w:szCs w:val="21"/>
                <w:lang w:val="en-US" w:eastAsia="zh-CN"/>
              </w:rPr>
              <w:t>查《部门工作质量检查考核记录》，考核周期：2022年度1-3月 ，考核内容：工作绩效、工作场所形象、规章制度落实情况等等</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 xml:space="preserve">——服务完成后有客户确认，提供有客户确认记录及汇款记录。  </w:t>
            </w:r>
          </w:p>
          <w:p>
            <w:pPr>
              <w:rPr>
                <w:rFonts w:hint="eastAsia" w:ascii="楷体" w:hAnsi="楷体" w:eastAsia="楷体" w:cs="Times New Roman"/>
                <w:bCs/>
                <w:szCs w:val="21"/>
                <w:lang w:val="zh-CN" w:eastAsia="zh-CN"/>
              </w:rPr>
            </w:pPr>
            <w:r>
              <w:rPr>
                <w:rFonts w:hint="eastAsia" w:ascii="楷体" w:hAnsi="楷体" w:eastAsia="楷体" w:cs="Times New Roman"/>
                <w:bCs/>
                <w:szCs w:val="21"/>
                <w:lang w:val="en-US" w:eastAsia="zh-CN"/>
              </w:rPr>
              <w:t>目前未发现公司出现违规现象。无被动性绩效的监视和测量。</w:t>
            </w:r>
          </w:p>
        </w:tc>
        <w:tc>
          <w:tcPr>
            <w:tcW w:w="160" w:type="pct"/>
            <w:noWrap w:val="0"/>
            <w:vAlign w:val="top"/>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498" w:type="pct"/>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顾客满意度</w:t>
            </w:r>
          </w:p>
        </w:tc>
        <w:tc>
          <w:tcPr>
            <w:tcW w:w="356" w:type="pct"/>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Q9.1.2</w:t>
            </w:r>
          </w:p>
        </w:tc>
        <w:tc>
          <w:tcPr>
            <w:tcW w:w="3985" w:type="pct"/>
            <w:noWrap w:val="0"/>
            <w:vAlign w:val="center"/>
          </w:tcPr>
          <w:p>
            <w:pPr>
              <w:rPr>
                <w:rFonts w:hint="eastAsia" w:ascii="楷体" w:hAnsi="楷体" w:eastAsia="楷体" w:cs="Times New Roman"/>
                <w:bCs/>
                <w:szCs w:val="21"/>
                <w:lang w:val="zh-CN" w:eastAsia="zh-CN"/>
              </w:rPr>
            </w:pPr>
            <w:r>
              <w:rPr>
                <w:rFonts w:hint="eastAsia" w:ascii="楷体" w:hAnsi="楷体" w:eastAsia="楷体" w:cs="Times New Roman"/>
                <w:bCs/>
                <w:szCs w:val="21"/>
                <w:lang w:val="zh-CN" w:eastAsia="zh-CN"/>
              </w:rPr>
              <w:t>公司通过电话，走访等形式，接受顾客反馈，了解顾客顾客满意度信息，发放调查表对顾客满意度进行定量测量。</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zh-CN" w:eastAsia="zh-CN"/>
              </w:rPr>
              <w:t>提供“顾客满意程度调查表”，</w:t>
            </w:r>
            <w:r>
              <w:rPr>
                <w:rFonts w:hint="eastAsia" w:ascii="楷体" w:hAnsi="楷体" w:eastAsia="楷体" w:cs="Times New Roman"/>
                <w:bCs/>
                <w:szCs w:val="21"/>
                <w:lang w:val="en-US" w:eastAsia="zh-CN"/>
              </w:rPr>
              <w:t>针对：邢台阳康贸易有限公司、国药创科河北医疗技术有限公司、国药集团江西医疗器械有限公司</w:t>
            </w:r>
            <w:r>
              <w:rPr>
                <w:rFonts w:hint="eastAsia" w:ascii="楷体" w:hAnsi="楷体" w:eastAsia="楷体" w:cs="Times New Roman"/>
                <w:bCs/>
                <w:szCs w:val="21"/>
                <w:lang w:val="zh-CN" w:eastAsia="zh-CN"/>
              </w:rPr>
              <w:t>调查主要内容：</w:t>
            </w:r>
            <w:r>
              <w:rPr>
                <w:rFonts w:hint="eastAsia" w:ascii="楷体" w:hAnsi="楷体" w:eastAsia="楷体" w:cs="Times New Roman"/>
                <w:bCs/>
                <w:szCs w:val="21"/>
                <w:lang w:val="en-US" w:eastAsia="zh-CN"/>
              </w:rPr>
              <w:t>质量、价格、外观、服务等方面的满意程度</w:t>
            </w:r>
            <w:r>
              <w:rPr>
                <w:rFonts w:hint="eastAsia" w:ascii="楷体" w:hAnsi="楷体" w:eastAsia="楷体" w:cs="Times New Roman"/>
                <w:bCs/>
                <w:szCs w:val="21"/>
                <w:lang w:val="zh-CN" w:eastAsia="zh-CN"/>
              </w:rPr>
              <w:t>等，</w:t>
            </w:r>
            <w:r>
              <w:rPr>
                <w:rFonts w:hint="eastAsia" w:ascii="楷体" w:hAnsi="楷体" w:eastAsia="楷体" w:cs="Times New Roman"/>
                <w:bCs/>
                <w:szCs w:val="21"/>
                <w:lang w:val="en-US" w:eastAsia="zh-CN"/>
              </w:rPr>
              <w:t>各项得分求平均值得最终结果</w:t>
            </w:r>
            <w:r>
              <w:rPr>
                <w:rFonts w:hint="eastAsia" w:ascii="楷体" w:hAnsi="楷体" w:eastAsia="楷体" w:cs="Times New Roman"/>
                <w:bCs/>
                <w:szCs w:val="21"/>
                <w:lang w:val="zh-CN" w:eastAsia="zh-CN"/>
              </w:rPr>
              <w:t>。</w:t>
            </w:r>
            <w:r>
              <w:rPr>
                <w:rFonts w:hint="eastAsia" w:ascii="楷体" w:hAnsi="楷体" w:eastAsia="楷体" w:cs="Times New Roman"/>
                <w:bCs/>
                <w:szCs w:val="21"/>
                <w:lang w:val="en-US" w:eastAsia="zh-CN"/>
              </w:rPr>
              <w:t>提供顾客满意调查分析。最终顾客满意率98.4%。该结果已提交管理评审。</w:t>
            </w:r>
          </w:p>
        </w:tc>
        <w:tc>
          <w:tcPr>
            <w:tcW w:w="160" w:type="pct"/>
            <w:noWrap w:val="0"/>
            <w:vAlign w:val="top"/>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98" w:type="pct"/>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分析与评价</w:t>
            </w:r>
          </w:p>
        </w:tc>
        <w:tc>
          <w:tcPr>
            <w:tcW w:w="356" w:type="pct"/>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Q9.1.3</w:t>
            </w:r>
          </w:p>
        </w:tc>
        <w:tc>
          <w:tcPr>
            <w:tcW w:w="3985" w:type="pct"/>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a）销售部每年管理评审前对顾客满意度和提供服务情况进行收集汇总、分析，并形成报告；</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b）销售部每年管理评审前对原材料采购和供方信息进行收集汇总、分析，并形成报告；</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c）销售部每年管理评审前对组织服务能力、服务设备使用情况进行收集汇总、分析，并形成报告；</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d）管理者代表每年管理评审前对质量/环境/职业健康安全管理体系运行情况进行总结，并形成报告；</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e）行政部每年管理评审前对人员培训率情况进行统计、分析，并形成报告；</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f）销售部每年管理评审前对产品的符合性信息进行收集汇总、分析，并形成报告；</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2）数据评价</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行政部在管理评审前收集各部门的分析报告，作为管理评审输入材料上报管理评审会讨论，以便于：</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a）确定质量/环境/职业健康安全管理体系的适宜性、充分性、有效性；</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b）确保产品和服务持续满足顾客要求；</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c）确保过程有效运行和控制；</w:t>
            </w:r>
          </w:p>
          <w:p>
            <w:pPr>
              <w:rPr>
                <w:rFonts w:hint="eastAsia" w:ascii="楷体" w:hAnsi="楷体" w:eastAsia="楷体" w:cs="Times New Roman"/>
                <w:bCs/>
                <w:szCs w:val="21"/>
                <w:lang w:val="zh-CN" w:eastAsia="zh-CN"/>
              </w:rPr>
            </w:pPr>
            <w:r>
              <w:rPr>
                <w:rFonts w:hint="eastAsia" w:ascii="楷体" w:hAnsi="楷体" w:eastAsia="楷体" w:cs="Times New Roman"/>
                <w:bCs/>
                <w:szCs w:val="21"/>
                <w:lang w:val="en-US" w:eastAsia="zh-CN"/>
              </w:rPr>
              <w:t>d）识别质量/环境/职业健康安全管理体系的改进机会。</w:t>
            </w:r>
          </w:p>
        </w:tc>
        <w:tc>
          <w:tcPr>
            <w:tcW w:w="160" w:type="pct"/>
            <w:noWrap w:val="0"/>
            <w:vAlign w:val="top"/>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98" w:type="pct"/>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运行控制</w:t>
            </w:r>
          </w:p>
        </w:tc>
        <w:tc>
          <w:tcPr>
            <w:tcW w:w="356" w:type="pct"/>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EO</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8.1</w:t>
            </w:r>
          </w:p>
        </w:tc>
        <w:tc>
          <w:tcPr>
            <w:tcW w:w="3985" w:type="pct"/>
            <w:noWrap w:val="0"/>
            <w:vAlign w:val="center"/>
          </w:tcPr>
          <w:p>
            <w:pPr>
              <w:rPr>
                <w:rFonts w:hint="eastAsia" w:ascii="楷体" w:hAnsi="楷体" w:eastAsia="楷体" w:cs="Times New Roman"/>
                <w:bCs/>
                <w:szCs w:val="21"/>
                <w:lang w:val="zh-CN" w:eastAsia="zh-CN"/>
              </w:rPr>
            </w:pPr>
            <w:r>
              <w:rPr>
                <w:rFonts w:hint="eastAsia" w:ascii="楷体" w:hAnsi="楷体" w:eastAsia="楷体" w:cs="Times New Roman"/>
                <w:bCs/>
                <w:szCs w:val="21"/>
                <w:lang w:val="zh-CN" w:eastAsia="zh-CN"/>
              </w:rPr>
              <w:t>本部门执行的运行控制文件包括：运行控制程序，固体废弃物管理规定、对相关方施加影响管理规定、节能降耗管理规定、消防安全管理制度、行政部安全管理制度、</w:t>
            </w:r>
            <w:r>
              <w:rPr>
                <w:rFonts w:hint="eastAsia" w:ascii="楷体" w:hAnsi="楷体" w:eastAsia="楷体" w:cs="Times New Roman"/>
                <w:bCs/>
                <w:szCs w:val="21"/>
                <w:lang w:val="en-GB" w:eastAsia="zh-CN"/>
              </w:rPr>
              <w:t>车辆管理规定、电脑使用管理办法</w:t>
            </w:r>
            <w:r>
              <w:rPr>
                <w:rFonts w:hint="eastAsia" w:ascii="楷体" w:hAnsi="楷体" w:eastAsia="楷体" w:cs="Times New Roman"/>
                <w:bCs/>
                <w:szCs w:val="21"/>
                <w:lang w:val="zh-CN" w:eastAsia="zh-CN"/>
              </w:rPr>
              <w:t>等</w:t>
            </w:r>
          </w:p>
          <w:p>
            <w:pPr>
              <w:rPr>
                <w:rFonts w:hint="eastAsia" w:ascii="楷体" w:hAnsi="楷体" w:eastAsia="楷体" w:cs="Times New Roman"/>
                <w:bCs/>
                <w:szCs w:val="21"/>
                <w:lang w:val="zh-CN" w:eastAsia="zh-CN"/>
              </w:rPr>
            </w:pPr>
            <w:r>
              <w:rPr>
                <w:rFonts w:hint="eastAsia" w:ascii="楷体" w:hAnsi="楷体" w:eastAsia="楷体" w:cs="Times New Roman"/>
                <w:bCs/>
                <w:szCs w:val="21"/>
                <w:lang w:val="zh-CN" w:eastAsia="zh-CN"/>
              </w:rPr>
              <w:t>运行控制情况：</w:t>
            </w:r>
          </w:p>
          <w:p>
            <w:pPr>
              <w:rPr>
                <w:rFonts w:hint="eastAsia" w:ascii="楷体" w:hAnsi="楷体" w:eastAsia="楷体" w:cs="Times New Roman"/>
                <w:bCs/>
                <w:szCs w:val="21"/>
                <w:lang w:val="zh-CN" w:eastAsia="zh-CN"/>
              </w:rPr>
            </w:pPr>
            <w:r>
              <w:rPr>
                <w:rFonts w:hint="eastAsia" w:ascii="楷体" w:hAnsi="楷体" w:eastAsia="楷体" w:cs="Times New Roman"/>
                <w:bCs/>
                <w:szCs w:val="21"/>
                <w:lang w:val="zh-CN" w:eastAsia="zh-CN"/>
              </w:rPr>
              <w:t>1、办公区域：生活污水排放至城市管网。噪声：办公现场不产生明显噪声。</w:t>
            </w:r>
          </w:p>
          <w:p>
            <w:pPr>
              <w:rPr>
                <w:rFonts w:hint="eastAsia" w:ascii="楷体" w:hAnsi="楷体" w:eastAsia="楷体" w:cs="Times New Roman"/>
                <w:bCs/>
                <w:szCs w:val="21"/>
                <w:lang w:val="zh-CN" w:eastAsia="zh-CN"/>
              </w:rPr>
            </w:pPr>
            <w:r>
              <w:rPr>
                <w:rFonts w:hint="eastAsia" w:ascii="楷体" w:hAnsi="楷体" w:eastAsia="楷体" w:cs="Times New Roman"/>
                <w:bCs/>
                <w:szCs w:val="21"/>
                <w:lang w:val="zh-CN" w:eastAsia="zh-CN"/>
              </w:rPr>
              <w:t>固废：固体废物主要是生活垃圾、办公产生废纸张废包装物等，配置了垃圾桶、可回收箱分类处置；办公用纸由行政部负责，复印、打印耗材都有行政部统一负责，集中处置。</w:t>
            </w:r>
          </w:p>
          <w:p>
            <w:pPr>
              <w:rPr>
                <w:rFonts w:hint="eastAsia" w:ascii="楷体" w:hAnsi="楷体" w:eastAsia="楷体" w:cs="Times New Roman"/>
                <w:bCs/>
                <w:szCs w:val="21"/>
                <w:lang w:val="zh-CN" w:eastAsia="zh-CN"/>
              </w:rPr>
            </w:pPr>
            <w:r>
              <w:rPr>
                <w:rFonts w:hint="eastAsia" w:ascii="楷体" w:hAnsi="楷体" w:eastAsia="楷体" w:cs="Times New Roman"/>
                <w:bCs/>
                <w:szCs w:val="21"/>
                <w:lang w:val="zh-CN" w:eastAsia="zh-CN"/>
              </w:rPr>
              <w:t>2、办公过程注意节约用电，做到人走灯灭，电脑长时间不用时关机，下班前要关闭电源，防止触电。</w:t>
            </w:r>
          </w:p>
          <w:p>
            <w:pPr>
              <w:rPr>
                <w:rFonts w:hint="eastAsia" w:ascii="楷体" w:hAnsi="楷体" w:eastAsia="楷体" w:cs="Times New Roman"/>
                <w:bCs/>
                <w:szCs w:val="21"/>
                <w:lang w:val="zh-CN" w:eastAsia="zh-CN"/>
              </w:rPr>
            </w:pPr>
            <w:r>
              <w:rPr>
                <w:rFonts w:hint="eastAsia" w:ascii="楷体" w:hAnsi="楷体" w:eastAsia="楷体" w:cs="Times New Roman"/>
                <w:bCs/>
                <w:szCs w:val="21"/>
                <w:lang w:val="zh-CN" w:eastAsia="zh-CN"/>
              </w:rPr>
              <w:t>3、办公区域禁止吸烟，查看办公区域环境整洁、宽敞、办公设备状态良好、无安全隐患。</w:t>
            </w:r>
          </w:p>
          <w:p>
            <w:pPr>
              <w:rPr>
                <w:rFonts w:hint="eastAsia" w:ascii="楷体" w:hAnsi="楷体" w:eastAsia="楷体" w:cs="Times New Roman"/>
                <w:bCs/>
                <w:szCs w:val="21"/>
                <w:lang w:val="zh-CN" w:eastAsia="zh-CN"/>
              </w:rPr>
            </w:pPr>
            <w:r>
              <w:rPr>
                <w:rFonts w:hint="eastAsia" w:ascii="楷体" w:hAnsi="楷体" w:eastAsia="楷体" w:cs="Times New Roman"/>
                <w:bCs/>
                <w:szCs w:val="21"/>
                <w:lang w:val="zh-CN" w:eastAsia="zh-CN"/>
              </w:rPr>
              <w:t>4、工作时间平均每天不超过8小时。</w:t>
            </w:r>
          </w:p>
          <w:p>
            <w:pPr>
              <w:rPr>
                <w:rFonts w:hint="eastAsia" w:ascii="楷体" w:hAnsi="楷体" w:eastAsia="楷体" w:cs="Times New Roman"/>
                <w:bCs/>
                <w:szCs w:val="21"/>
                <w:lang w:val="zh-CN" w:eastAsia="zh-CN"/>
              </w:rPr>
            </w:pPr>
            <w:r>
              <w:rPr>
                <w:rFonts w:hint="eastAsia" w:ascii="楷体" w:hAnsi="楷体" w:eastAsia="楷体" w:cs="Times New Roman"/>
                <w:bCs/>
                <w:szCs w:val="21"/>
                <w:lang w:val="zh-CN" w:eastAsia="zh-CN"/>
              </w:rPr>
              <w:t>5、查看办公区域，整洁、光线充足、室内空气良好，办公条件较好，办公设备安全状态良好，教育员工正确使用办公设备，规范用电，无乱拉线现象，防止火灾发生。</w:t>
            </w:r>
          </w:p>
          <w:p>
            <w:pPr>
              <w:rPr>
                <w:rFonts w:hint="eastAsia" w:ascii="楷体" w:hAnsi="楷体" w:eastAsia="楷体" w:cs="Times New Roman"/>
                <w:bCs/>
                <w:szCs w:val="21"/>
                <w:lang w:val="zh-CN" w:eastAsia="zh-CN"/>
              </w:rPr>
            </w:pPr>
            <w:r>
              <w:rPr>
                <w:rFonts w:hint="eastAsia" w:ascii="楷体" w:hAnsi="楷体" w:eastAsia="楷体" w:cs="Times New Roman"/>
                <w:bCs/>
                <w:szCs w:val="21"/>
                <w:lang w:val="zh-CN" w:eastAsia="zh-CN"/>
              </w:rPr>
              <w:t>7、相关方施加影响：公司能够控制或能够施加影响的相关方有顾客等。提供了“致相关方的公开信”，将公司的环境/安全控制要求发放</w:t>
            </w:r>
            <w:r>
              <w:rPr>
                <w:rFonts w:hint="eastAsia" w:ascii="楷体" w:hAnsi="楷体" w:eastAsia="楷体" w:cs="Times New Roman"/>
                <w:bCs/>
                <w:szCs w:val="21"/>
                <w:lang w:val="en-US" w:eastAsia="zh-CN"/>
              </w:rPr>
              <w:t>给</w:t>
            </w:r>
            <w:r>
              <w:rPr>
                <w:rFonts w:hint="eastAsia" w:ascii="楷体" w:hAnsi="楷体" w:eastAsia="楷体" w:cs="Times New Roman"/>
                <w:bCs/>
                <w:szCs w:val="21"/>
                <w:lang w:val="zh-CN" w:eastAsia="zh-CN"/>
              </w:rPr>
              <w:t>相关方，督促影响各相关方按照环境/安全管理体系要求对环境/安全施加影响。在与顾客沟通和招投标时，通过选择适当时机向顾客宣传本公司的管理方针理念以及本公司的具体做法、成绩等，向顾客施加环境、职业健康安全的影响，增强顾客对本公司的信任程度。</w:t>
            </w:r>
          </w:p>
          <w:p>
            <w:pPr>
              <w:rPr>
                <w:rFonts w:hint="default" w:ascii="楷体" w:hAnsi="楷体" w:eastAsia="楷体" w:cs="Times New Roman"/>
                <w:bCs/>
                <w:szCs w:val="21"/>
                <w:lang w:val="en-US" w:eastAsia="zh-CN"/>
              </w:rPr>
            </w:pPr>
            <w:r>
              <w:rPr>
                <w:rFonts w:hint="eastAsia" w:ascii="楷体" w:hAnsi="楷体" w:eastAsia="楷体" w:cs="Times New Roman"/>
                <w:bCs/>
                <w:szCs w:val="21"/>
                <w:lang w:val="zh-CN" w:eastAsia="zh-CN"/>
              </w:rPr>
              <w:t>8、要求遵守道路交通法规，不违章驾车，驾驶证和车辆定期年审，确保行车安全。</w:t>
            </w:r>
          </w:p>
        </w:tc>
        <w:tc>
          <w:tcPr>
            <w:tcW w:w="160" w:type="pct"/>
            <w:noWrap w:val="0"/>
            <w:vAlign w:val="top"/>
          </w:tcPr>
          <w:p>
            <w:pPr>
              <w:rPr>
                <w:rFonts w:hint="default" w:ascii="楷体" w:hAnsi="楷体" w:eastAsia="楷体" w:cs="Times New Roman"/>
                <w:bCs/>
                <w:szCs w:val="21"/>
                <w:lang w:val="en-US" w:eastAsia="zh-CN"/>
              </w:rPr>
            </w:pPr>
            <w:r>
              <w:rPr>
                <w:rFonts w:hint="eastAsia" w:ascii="楷体" w:hAnsi="楷体" w:eastAsia="楷体" w:cs="Times New Roman"/>
                <w:bCs/>
                <w:szCs w:val="21"/>
                <w:lang w:val="en-US" w:eastAsia="zh-CN"/>
              </w:rPr>
              <w:t>符合</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98" w:type="pct"/>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应急准备和响应</w:t>
            </w:r>
          </w:p>
        </w:tc>
        <w:tc>
          <w:tcPr>
            <w:tcW w:w="356" w:type="pct"/>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EO</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8.2</w:t>
            </w:r>
          </w:p>
        </w:tc>
        <w:tc>
          <w:tcPr>
            <w:tcW w:w="3985" w:type="pct"/>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执行《</w:t>
            </w:r>
            <w:r>
              <w:rPr>
                <w:rFonts w:hint="eastAsia" w:ascii="楷体" w:hAnsi="楷体" w:eastAsia="楷体" w:cs="Times New Roman"/>
                <w:bCs/>
                <w:szCs w:val="21"/>
                <w:lang w:val="zh-CN" w:eastAsia="zh-CN"/>
              </w:rPr>
              <w:t>应急准备和响应</w:t>
            </w:r>
            <w:r>
              <w:rPr>
                <w:rFonts w:hint="eastAsia" w:ascii="楷体" w:hAnsi="楷体" w:eastAsia="楷体" w:cs="Times New Roman"/>
                <w:bCs/>
                <w:szCs w:val="21"/>
                <w:lang w:val="en-US" w:eastAsia="zh-CN"/>
              </w:rPr>
              <w:t>控制</w:t>
            </w:r>
            <w:r>
              <w:rPr>
                <w:rFonts w:hint="eastAsia" w:ascii="楷体" w:hAnsi="楷体" w:eastAsia="楷体" w:cs="Times New Roman"/>
                <w:bCs/>
                <w:szCs w:val="21"/>
                <w:lang w:val="zh-CN" w:eastAsia="zh-CN"/>
              </w:rPr>
              <w:t>程序</w:t>
            </w:r>
            <w:r>
              <w:rPr>
                <w:rFonts w:hint="eastAsia" w:ascii="楷体" w:hAnsi="楷体" w:eastAsia="楷体" w:cs="Times New Roman"/>
                <w:bCs/>
                <w:szCs w:val="21"/>
                <w:lang w:val="en-US" w:eastAsia="zh-CN"/>
              </w:rPr>
              <w:t>》，参加了公司组织消防演练，相关记录详见行政部相关条款。</w:t>
            </w:r>
          </w:p>
        </w:tc>
        <w:tc>
          <w:tcPr>
            <w:tcW w:w="160" w:type="pct"/>
            <w:noWrap w:val="0"/>
            <w:vAlign w:val="top"/>
          </w:tcPr>
          <w:p>
            <w:pPr>
              <w:rPr>
                <w:rFonts w:hint="eastAsia" w:ascii="楷体" w:hAnsi="楷体" w:eastAsia="楷体" w:cs="Times New Roman"/>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498" w:type="pct"/>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不符合和纠正措施</w:t>
            </w:r>
          </w:p>
          <w:p>
            <w:pPr>
              <w:rPr>
                <w:rFonts w:hint="eastAsia" w:ascii="楷体" w:hAnsi="楷体" w:eastAsia="楷体" w:cs="Times New Roman"/>
                <w:bCs/>
                <w:szCs w:val="21"/>
                <w:lang w:val="en-US" w:eastAsia="zh-CN"/>
              </w:rPr>
            </w:pPr>
          </w:p>
        </w:tc>
        <w:tc>
          <w:tcPr>
            <w:tcW w:w="356" w:type="pct"/>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QEO10.2</w:t>
            </w:r>
          </w:p>
          <w:p>
            <w:pPr>
              <w:rPr>
                <w:rFonts w:hint="eastAsia" w:ascii="楷体" w:hAnsi="楷体" w:eastAsia="楷体" w:cs="Times New Roman"/>
                <w:bCs/>
                <w:szCs w:val="21"/>
                <w:lang w:val="en-US" w:eastAsia="zh-CN"/>
              </w:rPr>
            </w:pPr>
          </w:p>
        </w:tc>
        <w:tc>
          <w:tcPr>
            <w:tcW w:w="3985" w:type="pct"/>
            <w:noWrap w:val="0"/>
            <w:vAlign w:val="center"/>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企业通过过程的监视和测量、绩效考核、内审、管理评审等方式和机制，确保质量管理制度有效执行。</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企业经过策划，采用对产品的监视和测量，对不合格品控制等来证实产品的符合性。</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企业制定不符合控制程序、纠正措施控制程序等，通过分析实际存在的或潜在的不符合的原因，制定纠正和预防措施，并验证其效果，以防止不符合的发生／再发生，实现持续改进绩效的目的。</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对内审中的不符合，采取了纠正措施，并验证；</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为保证公司职业健康安全管理体系的有效运行，通过对安全事件的调查处理，以确保管理体系运行的有效性。</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经查在公司正常经营活动中，出现了轻微不符合，部门已经采取纠正和纠正措施，经验证纠正措施有效。</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未发生过环境、安全等事故。</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查持续改进：</w:t>
            </w:r>
          </w:p>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公司利用质量/环境/职业健康安全方针、质量/环境/职业健康安全目标、审核结果、资料分析、纠正和持续改进以及管理评审等活动，以确定是否存在持续改进的需求和机会，以持续改进质量/环境/职业健康安全管理体系的适宜性、充分性和有效性。</w:t>
            </w:r>
          </w:p>
          <w:p>
            <w:pPr>
              <w:rPr>
                <w:rFonts w:hint="eastAsia" w:ascii="楷体" w:hAnsi="楷体" w:eastAsia="楷体" w:cs="Times New Roman"/>
                <w:bCs/>
                <w:szCs w:val="21"/>
                <w:lang w:val="zh-CN" w:eastAsia="zh-CN"/>
              </w:rPr>
            </w:pPr>
            <w:r>
              <w:rPr>
                <w:rFonts w:hint="eastAsia" w:ascii="楷体" w:hAnsi="楷体" w:eastAsia="楷体" w:cs="Times New Roman"/>
                <w:bCs/>
                <w:szCs w:val="21"/>
                <w:lang w:val="en-US" w:eastAsia="zh-CN"/>
              </w:rPr>
              <w:t>管理评审提出改进措施正在实施过程中。</w:t>
            </w:r>
          </w:p>
        </w:tc>
        <w:tc>
          <w:tcPr>
            <w:tcW w:w="160" w:type="pct"/>
            <w:noWrap w:val="0"/>
            <w:vAlign w:val="top"/>
          </w:tcPr>
          <w:p>
            <w:pPr>
              <w:rPr>
                <w:rFonts w:hint="eastAsia" w:ascii="楷体" w:hAnsi="楷体" w:eastAsia="楷体" w:cs="Times New Roman"/>
                <w:bCs/>
                <w:szCs w:val="21"/>
                <w:lang w:val="en-US" w:eastAsia="zh-CN"/>
              </w:rPr>
            </w:pPr>
            <w:r>
              <w:rPr>
                <w:rFonts w:hint="eastAsia" w:ascii="楷体" w:hAnsi="楷体" w:eastAsia="楷体" w:cs="Times New Roman"/>
                <w:bCs/>
                <w:szCs w:val="21"/>
                <w:lang w:val="en-US" w:eastAsia="zh-CN"/>
              </w:rPr>
              <w:t>符合</w:t>
            </w:r>
          </w:p>
        </w:tc>
      </w:tr>
    </w:tbl>
    <w:p>
      <w:pPr>
        <w:pStyle w:val="8"/>
        <w:rPr>
          <w:rFonts w:hint="eastAsia" w:ascii="楷体" w:hAnsi="楷体" w:eastAsia="楷体" w:cs="宋体"/>
          <w:bCs w:val="0"/>
          <w:color w:val="000000"/>
          <w:spacing w:val="0"/>
          <w:kern w:val="2"/>
          <w:sz w:val="24"/>
          <w:szCs w:val="24"/>
          <w:lang w:val="en-US" w:eastAsia="zh-CN" w:bidi="ar-S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9"/>
      <w:pBdr>
        <w:bottom w:val="none" w:color="auto" w:sz="0" w:space="0"/>
      </w:pBdr>
      <w:spacing w:line="320" w:lineRule="exact"/>
      <w:ind w:firstLine="756" w:firstLineChars="400"/>
      <w:jc w:val="left"/>
    </w:pPr>
    <w:r>
      <w:rPr>
        <w:rStyle w:val="17"/>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02D1B"/>
    <w:multiLevelType w:val="multilevel"/>
    <w:tmpl w:val="59F02D1B"/>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c4ZWJiZGY2YjU2MmRhNjg4NDA1NWJhMzhhZTVmYzcifQ=="/>
  </w:docVars>
  <w:rsids>
    <w:rsidRoot w:val="00000000"/>
    <w:rsid w:val="00D27C02"/>
    <w:rsid w:val="0137578E"/>
    <w:rsid w:val="023941CF"/>
    <w:rsid w:val="02743A23"/>
    <w:rsid w:val="02C91F30"/>
    <w:rsid w:val="0374320A"/>
    <w:rsid w:val="03A644B2"/>
    <w:rsid w:val="042C353D"/>
    <w:rsid w:val="043E40D2"/>
    <w:rsid w:val="04B070D8"/>
    <w:rsid w:val="04E3379D"/>
    <w:rsid w:val="07B3748A"/>
    <w:rsid w:val="0A246BA4"/>
    <w:rsid w:val="0A2A630B"/>
    <w:rsid w:val="0A9D0CAF"/>
    <w:rsid w:val="11010C82"/>
    <w:rsid w:val="11172982"/>
    <w:rsid w:val="11E2324D"/>
    <w:rsid w:val="137F4113"/>
    <w:rsid w:val="14241075"/>
    <w:rsid w:val="14EC74AA"/>
    <w:rsid w:val="1B9A63DC"/>
    <w:rsid w:val="1DA70FB1"/>
    <w:rsid w:val="1F8228E2"/>
    <w:rsid w:val="1FC01D5D"/>
    <w:rsid w:val="20A339FB"/>
    <w:rsid w:val="20CD434D"/>
    <w:rsid w:val="21520FC2"/>
    <w:rsid w:val="21C60E9C"/>
    <w:rsid w:val="21E43DD9"/>
    <w:rsid w:val="22392900"/>
    <w:rsid w:val="22B920CC"/>
    <w:rsid w:val="237107AD"/>
    <w:rsid w:val="24557535"/>
    <w:rsid w:val="248832CB"/>
    <w:rsid w:val="2543007A"/>
    <w:rsid w:val="274F297F"/>
    <w:rsid w:val="2C2800BA"/>
    <w:rsid w:val="2D6F0D20"/>
    <w:rsid w:val="2E8D4551"/>
    <w:rsid w:val="31054460"/>
    <w:rsid w:val="31861F50"/>
    <w:rsid w:val="32913106"/>
    <w:rsid w:val="331A22F8"/>
    <w:rsid w:val="358C5213"/>
    <w:rsid w:val="37521A1F"/>
    <w:rsid w:val="381E48EB"/>
    <w:rsid w:val="38B823C6"/>
    <w:rsid w:val="39771278"/>
    <w:rsid w:val="3A443BE6"/>
    <w:rsid w:val="3CAC12F4"/>
    <w:rsid w:val="3D4A734A"/>
    <w:rsid w:val="416264FE"/>
    <w:rsid w:val="420F3B99"/>
    <w:rsid w:val="42DA6561"/>
    <w:rsid w:val="430A4C33"/>
    <w:rsid w:val="43B9620F"/>
    <w:rsid w:val="43E470B0"/>
    <w:rsid w:val="44330E23"/>
    <w:rsid w:val="44DA663A"/>
    <w:rsid w:val="4553420B"/>
    <w:rsid w:val="455543ED"/>
    <w:rsid w:val="464E35B6"/>
    <w:rsid w:val="480266EB"/>
    <w:rsid w:val="4A157E50"/>
    <w:rsid w:val="4A1901EC"/>
    <w:rsid w:val="4ADF580E"/>
    <w:rsid w:val="4B0E3C2A"/>
    <w:rsid w:val="4D4D765F"/>
    <w:rsid w:val="4DD73AD8"/>
    <w:rsid w:val="4E585EFA"/>
    <w:rsid w:val="501A081E"/>
    <w:rsid w:val="50D035A4"/>
    <w:rsid w:val="512508ED"/>
    <w:rsid w:val="521E7520"/>
    <w:rsid w:val="553F7325"/>
    <w:rsid w:val="555B67E4"/>
    <w:rsid w:val="560B383E"/>
    <w:rsid w:val="568878FC"/>
    <w:rsid w:val="573C7EB2"/>
    <w:rsid w:val="59F41F84"/>
    <w:rsid w:val="5AC25B7F"/>
    <w:rsid w:val="5AD13E5C"/>
    <w:rsid w:val="5EBA3AB0"/>
    <w:rsid w:val="5F6B5DAC"/>
    <w:rsid w:val="61DA5BB0"/>
    <w:rsid w:val="634C0B64"/>
    <w:rsid w:val="636A2C21"/>
    <w:rsid w:val="64061384"/>
    <w:rsid w:val="645F79BB"/>
    <w:rsid w:val="64784DF1"/>
    <w:rsid w:val="6812170B"/>
    <w:rsid w:val="68E65C61"/>
    <w:rsid w:val="69AF5E21"/>
    <w:rsid w:val="6A3E1F05"/>
    <w:rsid w:val="6ACB16DA"/>
    <w:rsid w:val="6B604A0B"/>
    <w:rsid w:val="6BD14CEB"/>
    <w:rsid w:val="6D2F50EA"/>
    <w:rsid w:val="6D67354D"/>
    <w:rsid w:val="6DF935BD"/>
    <w:rsid w:val="6E680FDE"/>
    <w:rsid w:val="6E91596D"/>
    <w:rsid w:val="6EA474CA"/>
    <w:rsid w:val="6F277D95"/>
    <w:rsid w:val="706D5F19"/>
    <w:rsid w:val="716B3AAD"/>
    <w:rsid w:val="71F25BBB"/>
    <w:rsid w:val="72042FC7"/>
    <w:rsid w:val="7219025C"/>
    <w:rsid w:val="72CA5A37"/>
    <w:rsid w:val="72DD7520"/>
    <w:rsid w:val="73397B42"/>
    <w:rsid w:val="73E23A22"/>
    <w:rsid w:val="740C7F92"/>
    <w:rsid w:val="74B654A3"/>
    <w:rsid w:val="74C72D16"/>
    <w:rsid w:val="75452668"/>
    <w:rsid w:val="754E6F5E"/>
    <w:rsid w:val="79A033E7"/>
    <w:rsid w:val="7AAA00DC"/>
    <w:rsid w:val="7B8C29DF"/>
    <w:rsid w:val="7DFA3A1A"/>
    <w:rsid w:val="7E5A20A1"/>
    <w:rsid w:val="7E5D0AB1"/>
    <w:rsid w:val="7EB26EC7"/>
    <w:rsid w:val="7FB448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keepNext/>
      <w:keepLines/>
      <w:numPr>
        <w:ilvl w:val="0"/>
        <w:numId w:val="1"/>
      </w:numPr>
      <w:adjustRightInd w:val="0"/>
      <w:snapToGrid w:val="0"/>
      <w:spacing w:before="50" w:beforeLines="50" w:after="50" w:afterLines="50" w:line="240" w:lineRule="auto"/>
      <w:ind w:left="0" w:firstLine="0"/>
      <w:jc w:val="left"/>
      <w:outlineLvl w:val="1"/>
    </w:pPr>
    <w:rPr>
      <w:rFonts w:ascii="宋体" w:hAnsi="宋体" w:eastAsia="宋体" w:cs="Times New Roman"/>
      <w:b/>
      <w:bCs/>
      <w:sz w:val="28"/>
      <w:szCs w:val="32"/>
      <w:lang w:val="zh-CN"/>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无间隔1"/>
    <w:basedOn w:val="3"/>
    <w:next w:val="3"/>
    <w:qFormat/>
    <w:uiPriority w:val="1"/>
    <w:pPr>
      <w:widowControl/>
      <w:jc w:val="left"/>
    </w:pPr>
    <w:rPr>
      <w:rFonts w:ascii="Cambria" w:hAnsi="Cambria"/>
      <w:sz w:val="22"/>
      <w:lang w:val="zh-CN" w:eastAsia="en-US" w:bidi="en-US"/>
    </w:rPr>
  </w:style>
  <w:style w:type="paragraph" w:customStyle="1" w:styleId="3">
    <w:name w:val="表格"/>
    <w:basedOn w:val="1"/>
    <w:qFormat/>
    <w:uiPriority w:val="99"/>
    <w:pPr>
      <w:jc w:val="center"/>
      <w:textAlignment w:val="center"/>
    </w:pPr>
    <w:rPr>
      <w:rFonts w:ascii="华文细黑" w:hAnsi="华文细黑"/>
      <w:kern w:val="0"/>
      <w:szCs w:val="20"/>
    </w:rPr>
  </w:style>
  <w:style w:type="paragraph" w:styleId="6">
    <w:name w:val="Body Text Indent"/>
    <w:basedOn w:val="1"/>
    <w:qFormat/>
    <w:uiPriority w:val="0"/>
    <w:pPr>
      <w:ind w:left="360"/>
    </w:pPr>
    <w:rPr>
      <w:sz w:val="20"/>
    </w:r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表格文字"/>
    <w:basedOn w:val="1"/>
    <w:qFormat/>
    <w:uiPriority w:val="0"/>
    <w:pPr>
      <w:spacing w:before="25" w:after="25"/>
    </w:pPr>
    <w:rPr>
      <w:bCs/>
      <w:spacing w:val="10"/>
    </w:rPr>
  </w:style>
  <w:style w:type="character" w:customStyle="1" w:styleId="14">
    <w:name w:val="页眉 Char"/>
    <w:basedOn w:val="12"/>
    <w:link w:val="9"/>
    <w:qFormat/>
    <w:uiPriority w:val="99"/>
    <w:rPr>
      <w:rFonts w:ascii="Times New Roman" w:hAnsi="Times New Roman" w:eastAsia="宋体" w:cs="Times New Roman"/>
      <w:sz w:val="18"/>
      <w:szCs w:val="18"/>
    </w:rPr>
  </w:style>
  <w:style w:type="character" w:customStyle="1" w:styleId="15">
    <w:name w:val="页脚 Char"/>
    <w:basedOn w:val="12"/>
    <w:link w:val="8"/>
    <w:qFormat/>
    <w:uiPriority w:val="99"/>
    <w:rPr>
      <w:rFonts w:ascii="Times New Roman" w:hAnsi="Times New Roman" w:eastAsia="宋体" w:cs="Times New Roman"/>
      <w:sz w:val="18"/>
      <w:szCs w:val="18"/>
    </w:rPr>
  </w:style>
  <w:style w:type="character" w:customStyle="1" w:styleId="16">
    <w:name w:val="批注框文本 Char"/>
    <w:basedOn w:val="12"/>
    <w:link w:val="7"/>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character" w:customStyle="1" w:styleId="18">
    <w:name w:val="NormalCharacter"/>
    <w:semiHidden/>
    <w:qFormat/>
    <w:uiPriority w:val="0"/>
    <w:rPr>
      <w:kern w:val="2"/>
      <w:sz w:val="21"/>
      <w:szCs w:val="24"/>
      <w:lang w:val="en-US" w:eastAsia="zh-CN" w:bidi="ar-SA"/>
    </w:rPr>
  </w:style>
  <w:style w:type="character" w:customStyle="1" w:styleId="19">
    <w:name w:val="layui-this"/>
    <w:basedOn w:val="12"/>
    <w:qFormat/>
    <w:uiPriority w:val="0"/>
    <w:rPr>
      <w:bdr w:val="single" w:color="EEEEEE" w:sz="4" w:space="0"/>
      <w:shd w:val="clear" w:fill="FFFFFF"/>
    </w:rPr>
  </w:style>
  <w:style w:type="character" w:customStyle="1" w:styleId="20">
    <w:name w:val="first-child"/>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7791</Words>
  <Characters>8312</Characters>
  <Lines>1</Lines>
  <Paragraphs>1</Paragraphs>
  <TotalTime>0</TotalTime>
  <ScaleCrop>false</ScaleCrop>
  <LinksUpToDate>false</LinksUpToDate>
  <CharactersWithSpaces>8674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2022-06-27T03:55:52Z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521749EFF82D4D6491B922F04B4BC049</vt:lpwstr>
  </property>
</Properties>
</file>