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rPr>
                <w:sz w:val="24"/>
                <w:szCs w:val="24"/>
              </w:rP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rPr>
                <w:sz w:val="24"/>
                <w:szCs w:val="24"/>
              </w:rPr>
            </w:pPr>
            <w:r>
              <w:rPr>
                <w:rFonts w:hint="eastAsia"/>
                <w:sz w:val="24"/>
                <w:szCs w:val="24"/>
              </w:rPr>
              <w:t>条款</w:t>
            </w:r>
          </w:p>
        </w:tc>
        <w:tc>
          <w:tcPr>
            <w:tcW w:w="10004" w:type="dxa"/>
            <w:vAlign w:val="center"/>
          </w:tcPr>
          <w:p>
            <w:pPr>
              <w:spacing w:line="240" w:lineRule="auto"/>
              <w:rPr>
                <w:sz w:val="24"/>
                <w:szCs w:val="24"/>
              </w:rPr>
            </w:pPr>
            <w:r>
              <w:rPr>
                <w:rFonts w:hint="eastAsia"/>
                <w:sz w:val="24"/>
                <w:szCs w:val="24"/>
              </w:rPr>
              <w:t>受审核部门：</w:t>
            </w:r>
            <w:r>
              <w:rPr>
                <w:rFonts w:hint="eastAsia"/>
                <w:sz w:val="24"/>
                <w:szCs w:val="24"/>
                <w:lang w:val="en-US" w:eastAsia="zh-CN"/>
              </w:rPr>
              <w:t xml:space="preserve">综合办公室     </w:t>
            </w:r>
            <w:r>
              <w:rPr>
                <w:rFonts w:hint="eastAsia"/>
                <w:sz w:val="24"/>
                <w:szCs w:val="24"/>
              </w:rPr>
              <w:t>主管领导：李少飞</w:t>
            </w:r>
            <w:r>
              <w:rPr>
                <w:rFonts w:hint="eastAsia"/>
                <w:sz w:val="24"/>
                <w:szCs w:val="24"/>
                <w:lang w:eastAsia="zh-CN"/>
              </w:rPr>
              <w:t>；</w:t>
            </w:r>
            <w:r>
              <w:rPr>
                <w:rFonts w:hint="eastAsia"/>
                <w:sz w:val="24"/>
                <w:szCs w:val="24"/>
                <w:lang w:val="en-US" w:eastAsia="zh-CN"/>
              </w:rPr>
              <w:t>员工代表：聂艳丽 ；</w:t>
            </w:r>
            <w:r>
              <w:rPr>
                <w:rFonts w:hint="eastAsia"/>
                <w:sz w:val="24"/>
                <w:szCs w:val="24"/>
              </w:rPr>
              <w:t>陪同人员：</w:t>
            </w:r>
            <w:r>
              <w:rPr>
                <w:rFonts w:hint="eastAsia"/>
                <w:sz w:val="24"/>
                <w:szCs w:val="24"/>
                <w:lang w:val="en-US" w:eastAsia="zh-CN"/>
              </w:rPr>
              <w:t>张晓立</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rPr>
                <w:sz w:val="24"/>
                <w:szCs w:val="24"/>
              </w:rPr>
            </w:pPr>
          </w:p>
        </w:tc>
        <w:tc>
          <w:tcPr>
            <w:tcW w:w="960" w:type="dxa"/>
            <w:vMerge w:val="continue"/>
            <w:vAlign w:val="center"/>
          </w:tcPr>
          <w:p>
            <w:pPr>
              <w:spacing w:line="240" w:lineRule="auto"/>
              <w:rPr>
                <w:sz w:val="24"/>
                <w:szCs w:val="24"/>
              </w:rPr>
            </w:pPr>
          </w:p>
        </w:tc>
        <w:tc>
          <w:tcPr>
            <w:tcW w:w="10004" w:type="dxa"/>
            <w:vAlign w:val="center"/>
          </w:tcPr>
          <w:p>
            <w:pPr>
              <w:spacing w:before="120" w:line="240" w:lineRule="auto"/>
              <w:rPr>
                <w:rFonts w:hint="default" w:eastAsia="宋体"/>
                <w:sz w:val="24"/>
                <w:szCs w:val="24"/>
                <w:lang w:val="en-US" w:eastAsia="zh-CN"/>
              </w:rPr>
            </w:pPr>
            <w:r>
              <w:rPr>
                <w:rFonts w:hint="eastAsia"/>
                <w:sz w:val="24"/>
                <w:szCs w:val="24"/>
              </w:rPr>
              <w:t>审核员：</w:t>
            </w:r>
            <w:bookmarkStart w:id="0" w:name="审核组成员不含组长"/>
            <w:r>
              <w:rPr>
                <w:rFonts w:hint="eastAsia"/>
                <w:sz w:val="24"/>
                <w:szCs w:val="24"/>
              </w:rPr>
              <w:t>周文</w:t>
            </w:r>
            <w:bookmarkEnd w:id="0"/>
            <w:r>
              <w:rPr>
                <w:rFonts w:hint="eastAsia"/>
                <w:sz w:val="24"/>
                <w:szCs w:val="24"/>
                <w:lang w:val="en-US" w:eastAsia="zh-CN"/>
              </w:rPr>
              <w:t xml:space="preserve">   </w:t>
            </w:r>
            <w:r>
              <w:rPr>
                <w:rFonts w:hint="eastAsia"/>
                <w:sz w:val="21"/>
                <w:szCs w:val="21"/>
                <w:lang w:val="en-US" w:eastAsia="zh-CN"/>
              </w:rPr>
              <w:t>（远程审核通过微信进行沟通搜集证据）</w:t>
            </w:r>
            <w:bookmarkStart w:id="3" w:name="_GoBack"/>
            <w:bookmarkEnd w:id="3"/>
            <w:r>
              <w:rPr>
                <w:rFonts w:hint="eastAsia"/>
                <w:sz w:val="24"/>
                <w:szCs w:val="24"/>
                <w:lang w:val="en-US" w:eastAsia="zh-CN"/>
              </w:rPr>
              <w:t xml:space="preserve">   </w:t>
            </w:r>
            <w:r>
              <w:rPr>
                <w:rFonts w:hint="eastAsia"/>
                <w:sz w:val="24"/>
                <w:szCs w:val="24"/>
              </w:rPr>
              <w:t>审核时间：</w:t>
            </w:r>
            <w:bookmarkStart w:id="1" w:name="审核日期"/>
            <w:r>
              <w:rPr>
                <w:sz w:val="24"/>
                <w:szCs w:val="24"/>
              </w:rPr>
              <w:t>2022年</w:t>
            </w:r>
            <w:r>
              <w:rPr>
                <w:rFonts w:hint="eastAsia"/>
                <w:sz w:val="24"/>
                <w:szCs w:val="24"/>
                <w:lang w:val="en-US" w:eastAsia="zh-CN"/>
              </w:rPr>
              <w:t xml:space="preserve">  6 </w:t>
            </w:r>
            <w:r>
              <w:rPr>
                <w:sz w:val="24"/>
                <w:szCs w:val="24"/>
              </w:rPr>
              <w:t>月</w:t>
            </w:r>
            <w:r>
              <w:rPr>
                <w:rFonts w:hint="eastAsia"/>
                <w:sz w:val="24"/>
                <w:szCs w:val="24"/>
                <w:lang w:val="en-US" w:eastAsia="zh-CN"/>
              </w:rPr>
              <w:t xml:space="preserve">17    </w:t>
            </w:r>
            <w:r>
              <w:rPr>
                <w:sz w:val="24"/>
                <w:szCs w:val="24"/>
              </w:rPr>
              <w:t xml:space="preserve">日 </w:t>
            </w:r>
            <w:bookmarkEnd w:id="1"/>
            <w:r>
              <w:rPr>
                <w:rFonts w:hint="eastAsia"/>
                <w:sz w:val="24"/>
                <w:szCs w:val="24"/>
                <w:lang w:val="en-US" w:eastAsia="zh-CN"/>
              </w:rPr>
              <w:t xml:space="preserve">   </w:t>
            </w:r>
          </w:p>
        </w:tc>
        <w:tc>
          <w:tcPr>
            <w:tcW w:w="1585" w:type="dxa"/>
            <w:vMerge w:val="continue"/>
          </w:tcPr>
          <w:p>
            <w:pPr>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rPr>
                <w:sz w:val="24"/>
                <w:szCs w:val="24"/>
              </w:rPr>
            </w:pPr>
          </w:p>
        </w:tc>
        <w:tc>
          <w:tcPr>
            <w:tcW w:w="960" w:type="dxa"/>
            <w:vMerge w:val="continue"/>
            <w:vAlign w:val="center"/>
          </w:tcPr>
          <w:p>
            <w:pPr>
              <w:spacing w:line="240" w:lineRule="auto"/>
              <w:rPr>
                <w:sz w:val="24"/>
                <w:szCs w:val="24"/>
              </w:rPr>
            </w:pPr>
          </w:p>
        </w:tc>
        <w:tc>
          <w:tcPr>
            <w:tcW w:w="10004" w:type="dxa"/>
            <w:vAlign w:val="center"/>
          </w:tcPr>
          <w:p>
            <w:pPr>
              <w:spacing w:line="240" w:lineRule="auto"/>
              <w:rPr>
                <w:rFonts w:hint="eastAsia" w:ascii="宋体" w:hAnsi="宋体"/>
                <w:b/>
                <w:bCs/>
                <w:sz w:val="24"/>
                <w:szCs w:val="24"/>
                <w:lang w:val="en-US" w:eastAsia="zh-CN"/>
              </w:rPr>
            </w:pPr>
            <w:r>
              <w:rPr>
                <w:rFonts w:hint="eastAsia"/>
                <w:sz w:val="24"/>
                <w:szCs w:val="24"/>
              </w:rPr>
              <w:t>审核条款：</w:t>
            </w:r>
          </w:p>
          <w:p>
            <w:pPr>
              <w:spacing w:line="240" w:lineRule="auto"/>
              <w:rPr>
                <w:rFonts w:hint="default"/>
                <w:sz w:val="24"/>
                <w:szCs w:val="24"/>
                <w:lang w:val="en-US"/>
              </w:rPr>
            </w:pPr>
            <w:r>
              <w:rPr>
                <w:rFonts w:hint="eastAsia"/>
                <w:sz w:val="24"/>
                <w:szCs w:val="24"/>
                <w:lang w:val="en-US" w:eastAsia="zh-CN"/>
              </w:rPr>
              <w:t>综合办公室（含员工代表）（远程审核通过微信进行沟通搜集证据）</w:t>
            </w:r>
          </w:p>
          <w:p>
            <w:pPr>
              <w:spacing w:line="240" w:lineRule="auto"/>
              <w:rPr>
                <w:rFonts w:hint="eastAsia" w:ascii="宋体" w:hAnsi="宋体" w:cs="新宋体"/>
                <w:sz w:val="24"/>
                <w:szCs w:val="24"/>
              </w:rPr>
            </w:pPr>
            <w:r>
              <w:rPr>
                <w:rFonts w:hint="eastAsia" w:ascii="Times New Roman" w:hAnsi="Times New Roman" w:cs="Times New Roman"/>
                <w:sz w:val="24"/>
                <w:szCs w:val="24"/>
                <w:lang w:val="de-DE"/>
              </w:rPr>
              <w:t xml:space="preserve">QMS-2015 </w:t>
            </w:r>
            <w:r>
              <w:rPr>
                <w:rFonts w:hint="eastAsia" w:ascii="Times New Roman" w:hAnsi="Times New Roman" w:cs="Times New Roman"/>
                <w:sz w:val="24"/>
                <w:szCs w:val="24"/>
                <w:lang w:val="en-US" w:eastAsia="zh-CN"/>
              </w:rPr>
              <w:t>:</w:t>
            </w:r>
            <w:r>
              <w:rPr>
                <w:rFonts w:hint="eastAsia" w:ascii="宋体" w:hAnsi="宋体" w:cs="新宋体"/>
                <w:sz w:val="24"/>
                <w:szCs w:val="24"/>
              </w:rPr>
              <w:t>5.3岗位/职责 /权限；6.2质量目标及其实现的策划；9.1.1监视、测量、分析和评价总则；</w:t>
            </w:r>
            <w:r>
              <w:rPr>
                <w:rFonts w:hint="eastAsia" w:ascii="宋体" w:hAnsi="宋体" w:cs="新宋体"/>
                <w:sz w:val="24"/>
                <w:szCs w:val="24"/>
                <w:lang w:val="en-US" w:eastAsia="zh-CN"/>
              </w:rPr>
              <w:t>9.1.3分析与评价；</w:t>
            </w:r>
            <w:r>
              <w:rPr>
                <w:rFonts w:hint="eastAsia" w:ascii="宋体" w:hAnsi="宋体" w:cs="新宋体"/>
                <w:sz w:val="24"/>
                <w:szCs w:val="24"/>
              </w:rPr>
              <w:t>9.2内部审核；10.2纠正措施；</w:t>
            </w:r>
          </w:p>
          <w:p>
            <w:pPr>
              <w:snapToGrid w:val="0"/>
              <w:spacing w:line="240" w:lineRule="auto"/>
              <w:rPr>
                <w:rFonts w:hint="eastAsia" w:ascii="宋体" w:hAnsi="宋体" w:cs="新宋体"/>
                <w:sz w:val="24"/>
                <w:szCs w:val="24"/>
              </w:rPr>
            </w:pPr>
            <w:r>
              <w:rPr>
                <w:rFonts w:hint="eastAsia" w:ascii="Times New Roman" w:hAnsi="Times New Roman" w:cs="Times New Roman"/>
                <w:sz w:val="24"/>
                <w:szCs w:val="24"/>
                <w:lang w:val="de-DE"/>
              </w:rPr>
              <w:t xml:space="preserve">EMS-2015 </w:t>
            </w:r>
            <w:r>
              <w:rPr>
                <w:rFonts w:hint="eastAsia" w:ascii="宋体" w:hAnsi="宋体" w:cs="新宋体"/>
                <w:sz w:val="24"/>
                <w:szCs w:val="24"/>
              </w:rPr>
              <w:t>5.3组织的角色、职责和权限; 6.1.2环境因素； 6.1.3合规义务；6.2目标及其达成的策划； 8.1运行策划和控制；8.2应急准备和响应；9.1.1监视、测量、分析和评价总则；9.1.2符合性评估；9.2内部审核</w:t>
            </w:r>
            <w:r>
              <w:rPr>
                <w:rFonts w:hint="eastAsia" w:ascii="宋体" w:hAnsi="宋体" w:cs="新宋体"/>
                <w:sz w:val="24"/>
                <w:szCs w:val="24"/>
                <w:lang w:eastAsia="zh-CN"/>
              </w:rPr>
              <w:t>；</w:t>
            </w:r>
            <w:r>
              <w:rPr>
                <w:rFonts w:hint="eastAsia" w:ascii="宋体" w:hAnsi="宋体" w:cs="新宋体"/>
                <w:sz w:val="24"/>
                <w:szCs w:val="24"/>
              </w:rPr>
              <w:t>10.2不符合和纠正措施；</w:t>
            </w:r>
          </w:p>
          <w:p>
            <w:pPr>
              <w:spacing w:line="240" w:lineRule="auto"/>
              <w:rPr>
                <w:sz w:val="24"/>
                <w:szCs w:val="24"/>
              </w:rPr>
            </w:pPr>
            <w:r>
              <w:rPr>
                <w:rFonts w:hint="eastAsia"/>
                <w:sz w:val="24"/>
                <w:szCs w:val="24"/>
                <w:lang w:val="de-DE"/>
              </w:rPr>
              <w:t>ISO 45001：2018</w:t>
            </w:r>
            <w:r>
              <w:rPr>
                <w:rFonts w:hint="eastAsia" w:ascii="宋体" w:hAnsi="宋体" w:eastAsia="宋体" w:cs="新宋体"/>
                <w:bCs w:val="0"/>
                <w:spacing w:val="0"/>
                <w:kern w:val="2"/>
                <w:sz w:val="24"/>
                <w:szCs w:val="24"/>
                <w:lang w:val="en-US" w:eastAsia="zh-CN" w:bidi="ar-SA"/>
              </w:rPr>
              <w:t>5.3组织的角色、职责和权限；5.4员工参与和协商；6.1.3法律法规要求和其他要求；6.1.2危险源辨识和职业安全风险评价； 6.2目标及其实现的策划；8.1运行策划和控制；8.2应急准备和响应；9.1.1监视、测量、分析和评价总则； 9.1.2法律法规要求和其他要求的合规性评价；9.2内部审核；10.2纠正措施；</w:t>
            </w:r>
          </w:p>
        </w:tc>
        <w:tc>
          <w:tcPr>
            <w:tcW w:w="1585" w:type="dxa"/>
            <w:vMerge w:val="continue"/>
          </w:tcPr>
          <w:p>
            <w:pPr>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rPr>
                <w:sz w:val="24"/>
                <w:szCs w:val="24"/>
              </w:rPr>
            </w:pPr>
            <w:r>
              <w:rPr>
                <w:rFonts w:hint="eastAsia"/>
                <w:sz w:val="24"/>
                <w:szCs w:val="24"/>
                <w:lang w:val="en-US" w:eastAsia="zh-CN"/>
              </w:rPr>
              <w:t>权责分配</w:t>
            </w:r>
          </w:p>
        </w:tc>
        <w:tc>
          <w:tcPr>
            <w:tcW w:w="960" w:type="dxa"/>
          </w:tcPr>
          <w:p>
            <w:pPr>
              <w:spacing w:line="24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QES5.3;S5.4</w:t>
            </w:r>
          </w:p>
        </w:tc>
        <w:tc>
          <w:tcPr>
            <w:tcW w:w="10004" w:type="dxa"/>
          </w:tcPr>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---部门负责人李少飞介绍,本部门主要负责以下工作内容：</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A、综合办公室</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a)负责协助领导层建立质量、环境、职业健康安全一体化管理体系，并负责监督和检查工作，以保持其持续有效运行；</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b) 负责监督、检查和考核公司一体化方针、目标及管理方案的贯彻执行情况；</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 负责公司规程、制度、记录等文件及形成文件的信息的制订、修订、审查、建立健全及管理、归档工作，并监督检查各部门执行情况；</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等等。</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员工代表聂艳丽介绍,主要负责以下工作内容：</w:t>
            </w:r>
          </w:p>
          <w:p>
            <w:pPr>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c)职业健康安全事务代表</w:t>
            </w:r>
          </w:p>
          <w:p>
            <w:pPr>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—维护公司员工的合法权益；</w:t>
            </w:r>
          </w:p>
          <w:p>
            <w:pPr>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—参与公司职业健康安全方针、目标的制定、实施；</w:t>
            </w:r>
          </w:p>
          <w:p>
            <w:pPr>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—参与危险源的识别、评价；</w:t>
            </w:r>
          </w:p>
          <w:p>
            <w:pPr>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—参与公司重大安全宣传活动；</w:t>
            </w:r>
          </w:p>
          <w:p>
            <w:pPr>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—参与安全事故的调查、处理等工作；</w:t>
            </w:r>
          </w:p>
          <w:p>
            <w:pPr>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—负责收集、处理员工合理化建议。</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——跟踪核查其“管理手册”5.3.1领导层的职责和权限及5.3.2 公司各部门职责的内容，其综合部负责人及员工代表表述与文件规定基本一致。</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——岗位、职责和权限明确。</w:t>
            </w:r>
          </w:p>
          <w:p>
            <w:pPr>
              <w:spacing w:line="240" w:lineRule="auto"/>
              <w:jc w:val="left"/>
              <w:rPr>
                <w:rFonts w:hint="eastAsia" w:ascii="Times New Roman" w:hAnsi="Times New Roman" w:eastAsia="宋体" w:cs="Times New Roman"/>
                <w:sz w:val="24"/>
                <w:szCs w:val="24"/>
                <w:lang w:val="en-US" w:eastAsia="zh-CN"/>
              </w:rPr>
            </w:pPr>
          </w:p>
          <w:p>
            <w:pPr>
              <w:spacing w:line="240" w:lineRule="auto"/>
              <w:jc w:val="left"/>
              <w:rPr>
                <w:rFonts w:hint="eastAsia" w:ascii="Times New Roman" w:hAnsi="Times New Roman" w:eastAsia="宋体" w:cs="Times New Roman"/>
                <w:sz w:val="24"/>
                <w:szCs w:val="24"/>
                <w:lang w:val="en-US" w:eastAsia="zh-CN"/>
              </w:rPr>
            </w:pP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rPr>
                <w:sz w:val="24"/>
                <w:szCs w:val="24"/>
              </w:rPr>
            </w:pPr>
            <w:r>
              <w:rPr>
                <w:rFonts w:hint="eastAsia"/>
                <w:sz w:val="24"/>
                <w:szCs w:val="24"/>
                <w:lang w:val="en-US" w:eastAsia="zh-CN"/>
              </w:rPr>
              <w:t>目标管理</w:t>
            </w:r>
          </w:p>
        </w:tc>
        <w:tc>
          <w:tcPr>
            <w:tcW w:w="960" w:type="dxa"/>
          </w:tcPr>
          <w:p>
            <w:pPr>
              <w:spacing w:line="240" w:lineRule="auto"/>
              <w:rPr>
                <w:rFonts w:hint="default" w:eastAsia="宋体"/>
                <w:sz w:val="24"/>
                <w:szCs w:val="24"/>
                <w:lang w:val="en-US" w:eastAsia="zh-CN"/>
              </w:rPr>
            </w:pPr>
            <w:r>
              <w:rPr>
                <w:rFonts w:hint="eastAsia"/>
                <w:sz w:val="24"/>
                <w:szCs w:val="24"/>
                <w:lang w:val="en-US" w:eastAsia="zh-CN"/>
              </w:rPr>
              <w:t>QES6.2</w:t>
            </w:r>
          </w:p>
        </w:tc>
        <w:tc>
          <w:tcPr>
            <w:tcW w:w="10004" w:type="dxa"/>
          </w:tcPr>
          <w:p>
            <w:pPr>
              <w:spacing w:line="240" w:lineRule="auto"/>
              <w:jc w:val="left"/>
              <w:rPr>
                <w:rFonts w:hint="default"/>
                <w:sz w:val="24"/>
                <w:szCs w:val="24"/>
                <w:lang w:val="en-US" w:eastAsia="zh-CN"/>
              </w:rPr>
            </w:pPr>
            <w:r>
              <w:rPr>
                <w:rFonts w:hint="eastAsia"/>
                <w:sz w:val="24"/>
                <w:szCs w:val="24"/>
                <w:lang w:val="en-US" w:eastAsia="zh-CN"/>
              </w:rPr>
              <w:t>---本部门策划的环境、安全管理方案；对目标的制订准则，考核方法、频率、责任部门等做出了规定；编审批日期齐全。——本部门主控。</w:t>
            </w:r>
          </w:p>
          <w:p>
            <w:pPr>
              <w:spacing w:line="240" w:lineRule="auto"/>
              <w:jc w:val="left"/>
              <w:rPr>
                <w:rFonts w:hint="eastAsia"/>
                <w:sz w:val="24"/>
                <w:szCs w:val="24"/>
                <w:highlight w:val="none"/>
                <w:lang w:val="en-US" w:eastAsia="zh-CN"/>
              </w:rPr>
            </w:pPr>
            <w:r>
              <w:rPr>
                <w:rFonts w:hint="eastAsia"/>
                <w:sz w:val="24"/>
                <w:szCs w:val="24"/>
                <w:highlight w:val="none"/>
                <w:lang w:val="en-US" w:eastAsia="zh-CN"/>
              </w:rPr>
              <w:t>---查“2022年度QES目标分解及考核”最后统计日期：2022.5.30.；2022年Q1部门分解目标均已达成。具体如下：</w:t>
            </w:r>
          </w:p>
          <w:p>
            <w:pPr>
              <w:spacing w:line="240" w:lineRule="auto"/>
            </w:pPr>
            <w:r>
              <w:drawing>
                <wp:inline distT="0" distB="0" distL="114300" distR="114300">
                  <wp:extent cx="5105400" cy="2232660"/>
                  <wp:effectExtent l="0" t="0" r="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5105400" cy="2232660"/>
                          </a:xfrm>
                          <a:prstGeom prst="rect">
                            <a:avLst/>
                          </a:prstGeom>
                          <a:noFill/>
                          <a:ln>
                            <a:noFill/>
                          </a:ln>
                        </pic:spPr>
                      </pic:pic>
                    </a:graphicData>
                  </a:graphic>
                </wp:inline>
              </w:drawing>
            </w:r>
          </w:p>
          <w:p>
            <w:pPr>
              <w:pStyle w:val="2"/>
              <w:rPr>
                <w:rFonts w:hint="eastAsia" w:ascii="Times New Roman" w:hAnsi="Times New Roman" w:eastAsia="宋体" w:cs="Times New Roman"/>
                <w:bCs w:val="0"/>
                <w:spacing w:val="0"/>
                <w:kern w:val="2"/>
                <w:sz w:val="24"/>
                <w:szCs w:val="24"/>
                <w:lang w:val="en-US" w:eastAsia="zh-CN" w:bidi="ar-SA"/>
              </w:rPr>
            </w:pPr>
            <w:r>
              <w:rPr>
                <w:rFonts w:hint="eastAsia"/>
                <w:lang w:eastAsia="zh-CN"/>
              </w:rPr>
              <w:t>——</w:t>
            </w:r>
            <w:r>
              <w:rPr>
                <w:rFonts w:hint="eastAsia"/>
                <w:lang w:val="en-US" w:eastAsia="zh-CN"/>
              </w:rPr>
              <w:t>问题点：</w:t>
            </w:r>
            <w:r>
              <w:rPr>
                <w:rFonts w:hint="eastAsia" w:ascii="Times New Roman" w:hAnsi="Times New Roman" w:eastAsia="宋体" w:cs="Times New Roman"/>
                <w:bCs w:val="0"/>
                <w:spacing w:val="0"/>
                <w:kern w:val="2"/>
                <w:sz w:val="24"/>
                <w:szCs w:val="24"/>
                <w:lang w:val="en-US" w:eastAsia="zh-CN" w:bidi="ar-SA"/>
              </w:rPr>
              <w:t>公司目标达成统计应归类显示；</w:t>
            </w:r>
          </w:p>
          <w:p>
            <w:pPr>
              <w:pStyle w:val="2"/>
              <w:rPr>
                <w:rFonts w:hint="default" w:ascii="Times New Roman" w:hAnsi="Times New Roman" w:eastAsia="宋体" w:cs="Times New Roman"/>
                <w:bCs w:val="0"/>
                <w:spacing w:val="0"/>
                <w:kern w:val="2"/>
                <w:sz w:val="24"/>
                <w:szCs w:val="24"/>
                <w:lang w:val="en-US" w:eastAsia="zh-CN" w:bidi="ar-SA"/>
              </w:rPr>
            </w:pPr>
            <w:r>
              <w:rPr>
                <w:rFonts w:hint="eastAsia" w:ascii="Times New Roman" w:hAnsi="Times New Roman" w:eastAsia="宋体" w:cs="Times New Roman"/>
                <w:bCs w:val="0"/>
                <w:spacing w:val="0"/>
                <w:kern w:val="2"/>
                <w:sz w:val="24"/>
                <w:szCs w:val="24"/>
                <w:lang w:val="en-US" w:eastAsia="zh-CN" w:bidi="ar-SA"/>
              </w:rPr>
              <w:t>——</w:t>
            </w:r>
            <w:r>
              <w:rPr>
                <w:rFonts w:hint="eastAsia"/>
                <w:lang w:val="en-US" w:eastAsia="zh-CN"/>
              </w:rPr>
              <w:t>问题点：</w:t>
            </w:r>
            <w:r>
              <w:rPr>
                <w:rFonts w:hint="eastAsia" w:ascii="Times New Roman" w:hAnsi="Times New Roman" w:eastAsia="宋体" w:cs="Times New Roman"/>
                <w:bCs w:val="0"/>
                <w:spacing w:val="0"/>
                <w:kern w:val="2"/>
                <w:sz w:val="24"/>
                <w:szCs w:val="24"/>
                <w:lang w:val="en-US" w:eastAsia="zh-CN" w:bidi="ar-SA"/>
              </w:rPr>
              <w:t>考核频率规定应明确；</w:t>
            </w:r>
          </w:p>
          <w:p>
            <w:pPr>
              <w:pStyle w:val="4"/>
              <w:spacing w:line="240" w:lineRule="auto"/>
              <w:rPr>
                <w:sz w:val="24"/>
                <w:szCs w:val="24"/>
              </w:rPr>
            </w:pPr>
          </w:p>
          <w:p>
            <w:pPr>
              <w:spacing w:line="240" w:lineRule="auto"/>
              <w:jc w:val="left"/>
              <w:rPr>
                <w:rFonts w:hint="eastAsia" w:eastAsia="宋体" w:cs="Times New Roman"/>
                <w:sz w:val="24"/>
                <w:szCs w:val="24"/>
                <w:lang w:val="en-US" w:eastAsia="zh-CN"/>
              </w:rPr>
            </w:pPr>
            <w:r>
              <w:rPr>
                <w:rFonts w:hint="eastAsia" w:eastAsia="宋体" w:cs="Times New Roman"/>
                <w:sz w:val="24"/>
                <w:szCs w:val="24"/>
                <w:lang w:val="en-US" w:eastAsia="zh-CN"/>
              </w:rPr>
              <w:t>---查“环境目标、指标及管理方案”，2022.1.5.；包括对危固废排放进行管控，策划了目标指标及管理措施，落实到部门、责任人及控制时间。核查如下：</w:t>
            </w:r>
          </w:p>
          <w:p>
            <w:pPr>
              <w:pStyle w:val="4"/>
              <w:spacing w:line="240" w:lineRule="auto"/>
              <w:rPr>
                <w:rFonts w:hint="eastAsia"/>
                <w:sz w:val="24"/>
                <w:szCs w:val="24"/>
                <w:lang w:val="en-US" w:eastAsia="zh-CN"/>
              </w:rPr>
            </w:pPr>
            <w:r>
              <w:rPr>
                <w:sz w:val="24"/>
                <w:szCs w:val="24"/>
              </w:rPr>
              <w:drawing>
                <wp:inline distT="0" distB="0" distL="114300" distR="114300">
                  <wp:extent cx="5981700" cy="180594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981700" cy="1805940"/>
                          </a:xfrm>
                          <a:prstGeom prst="rect">
                            <a:avLst/>
                          </a:prstGeom>
                          <a:noFill/>
                          <a:ln>
                            <a:noFill/>
                          </a:ln>
                        </pic:spPr>
                      </pic:pic>
                    </a:graphicData>
                  </a:graphic>
                </wp:inline>
              </w:drawing>
            </w:r>
          </w:p>
          <w:p>
            <w:pPr>
              <w:spacing w:line="240" w:lineRule="auto"/>
              <w:jc w:val="left"/>
              <w:rPr>
                <w:rFonts w:hint="eastAsia" w:eastAsia="宋体" w:cs="Times New Roman"/>
                <w:sz w:val="24"/>
                <w:szCs w:val="24"/>
                <w:lang w:val="en-US" w:eastAsia="zh-CN"/>
              </w:rPr>
            </w:pPr>
            <w:r>
              <w:rPr>
                <w:rFonts w:hint="eastAsia" w:eastAsia="宋体" w:cs="Times New Roman"/>
                <w:sz w:val="24"/>
                <w:szCs w:val="24"/>
                <w:lang w:val="en-US" w:eastAsia="zh-CN"/>
              </w:rPr>
              <w:t>---查“职业健康安全管理方案”，2022.1.5.；包括对火灾、触电等安全风险金进行管控，分析了现状、策划了目标指标及管理措施，落实到部门、责任人及控制时间。核查如下：</w:t>
            </w:r>
          </w:p>
          <w:p>
            <w:pPr>
              <w:pStyle w:val="4"/>
              <w:spacing w:line="240" w:lineRule="auto"/>
              <w:rPr>
                <w:sz w:val="24"/>
                <w:szCs w:val="24"/>
              </w:rPr>
            </w:pPr>
            <w:r>
              <w:rPr>
                <w:sz w:val="24"/>
                <w:szCs w:val="24"/>
              </w:rPr>
              <w:drawing>
                <wp:inline distT="0" distB="0" distL="114300" distR="114300">
                  <wp:extent cx="6051550" cy="3604895"/>
                  <wp:effectExtent l="0" t="0" r="1397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6051550" cy="3604895"/>
                          </a:xfrm>
                          <a:prstGeom prst="rect">
                            <a:avLst/>
                          </a:prstGeom>
                          <a:noFill/>
                          <a:ln>
                            <a:noFill/>
                          </a:ln>
                        </pic:spPr>
                      </pic:pic>
                    </a:graphicData>
                  </a:graphic>
                </wp:inline>
              </w:drawing>
            </w:r>
          </w:p>
          <w:p>
            <w:pPr>
              <w:spacing w:line="240" w:lineRule="auto"/>
              <w:rPr>
                <w:rFonts w:hint="default" w:eastAsia="宋体"/>
                <w:sz w:val="24"/>
                <w:szCs w:val="24"/>
                <w:lang w:val="en-US" w:eastAsia="zh-CN"/>
              </w:rPr>
            </w:pPr>
            <w:r>
              <w:rPr>
                <w:rFonts w:hint="eastAsia"/>
                <w:sz w:val="24"/>
                <w:szCs w:val="24"/>
                <w:lang w:eastAsia="zh-CN"/>
              </w:rPr>
              <w:t>——</w:t>
            </w:r>
            <w:r>
              <w:rPr>
                <w:rFonts w:hint="eastAsia"/>
                <w:sz w:val="24"/>
                <w:szCs w:val="24"/>
                <w:lang w:val="en-US" w:eastAsia="zh-CN"/>
              </w:rPr>
              <w:t>目标管理过程基本符合要求。</w:t>
            </w:r>
          </w:p>
          <w:p>
            <w:pPr>
              <w:pStyle w:val="4"/>
              <w:spacing w:line="240" w:lineRule="auto"/>
              <w:rPr>
                <w:sz w:val="24"/>
                <w:szCs w:val="24"/>
              </w:rPr>
            </w:pP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sz w:val="24"/>
                <w:szCs w:val="24"/>
              </w:rPr>
            </w:pPr>
            <w:r>
              <w:rPr>
                <w:rFonts w:hint="eastAsia"/>
                <w:sz w:val="24"/>
                <w:szCs w:val="24"/>
              </w:rPr>
              <w:t>环境因素</w:t>
            </w:r>
            <w:r>
              <w:rPr>
                <w:rFonts w:hint="eastAsia"/>
                <w:sz w:val="24"/>
                <w:szCs w:val="24"/>
                <w:lang w:eastAsia="zh-CN"/>
              </w:rPr>
              <w:t>、</w:t>
            </w:r>
            <w:r>
              <w:rPr>
                <w:rFonts w:hint="eastAsia"/>
                <w:sz w:val="24"/>
                <w:szCs w:val="24"/>
              </w:rPr>
              <w:t>危险源</w:t>
            </w:r>
            <w:r>
              <w:rPr>
                <w:rFonts w:hint="eastAsia"/>
                <w:sz w:val="24"/>
                <w:szCs w:val="24"/>
                <w:lang w:val="en-US" w:eastAsia="zh-CN"/>
              </w:rPr>
              <w:t>及职业健康安全风险和机遇的识别、评价</w:t>
            </w:r>
          </w:p>
        </w:tc>
        <w:tc>
          <w:tcPr>
            <w:tcW w:w="960" w:type="dxa"/>
          </w:tcPr>
          <w:p>
            <w:pPr>
              <w:spacing w:line="240" w:lineRule="auto"/>
              <w:rPr>
                <w:rFonts w:hint="default" w:eastAsia="宋体"/>
                <w:sz w:val="24"/>
                <w:szCs w:val="24"/>
                <w:lang w:val="en-US" w:eastAsia="zh-CN"/>
              </w:rPr>
            </w:pPr>
            <w:r>
              <w:rPr>
                <w:rFonts w:hint="eastAsia"/>
                <w:sz w:val="24"/>
                <w:szCs w:val="24"/>
                <w:lang w:val="en-US" w:eastAsia="zh-CN"/>
              </w:rPr>
              <w:t>ES6.1.2</w:t>
            </w:r>
          </w:p>
        </w:tc>
        <w:tc>
          <w:tcPr>
            <w:tcW w:w="10004" w:type="dxa"/>
          </w:tcPr>
          <w:p>
            <w:pPr>
              <w:spacing w:line="240" w:lineRule="auto"/>
              <w:jc w:val="left"/>
              <w:rPr>
                <w:rFonts w:hint="eastAsia"/>
                <w:sz w:val="24"/>
                <w:szCs w:val="24"/>
                <w:lang w:val="en-US" w:eastAsia="zh-CN"/>
              </w:rPr>
            </w:pPr>
            <w:r>
              <w:rPr>
                <w:rFonts w:hint="eastAsia"/>
                <w:sz w:val="24"/>
                <w:szCs w:val="24"/>
                <w:lang w:val="en-US" w:eastAsia="zh-CN"/>
              </w:rPr>
              <w:t>---制订</w:t>
            </w:r>
            <w:r>
              <w:rPr>
                <w:rFonts w:hint="eastAsia" w:ascii="Times New Roman" w:hAnsi="Times New Roman" w:eastAsia="宋体" w:cs="Times New Roman"/>
                <w:sz w:val="24"/>
                <w:szCs w:val="24"/>
                <w:lang w:val="en-US" w:eastAsia="zh-CN"/>
              </w:rPr>
              <w:t>有《环境因素识别与评价管理程序》、</w:t>
            </w:r>
            <w:r>
              <w:rPr>
                <w:rFonts w:hint="eastAsia"/>
                <w:sz w:val="24"/>
                <w:szCs w:val="24"/>
                <w:lang w:val="en-US" w:eastAsia="zh-CN"/>
              </w:rPr>
              <w:t>《危险源辨识、风险评价和风险控制程序》、《风险和机遇的应对控制程序》，策划有运行准则，本部门主控。</w:t>
            </w:r>
          </w:p>
          <w:p>
            <w:pPr>
              <w:spacing w:line="240" w:lineRule="auto"/>
              <w:jc w:val="left"/>
              <w:rPr>
                <w:rFonts w:hint="default"/>
                <w:sz w:val="24"/>
                <w:szCs w:val="24"/>
                <w:lang w:val="en-US" w:eastAsia="zh-CN"/>
              </w:rPr>
            </w:pPr>
            <w:r>
              <w:rPr>
                <w:rFonts w:hint="eastAsia"/>
                <w:sz w:val="24"/>
                <w:szCs w:val="24"/>
                <w:lang w:val="en-US" w:eastAsia="zh-CN"/>
              </w:rPr>
              <w:t>---查“环境因素调查评价表”2022.1.5.；识别公司业务经营管理全过程的环境因素等共26项，并进行了打分评价。抽查如下：</w:t>
            </w:r>
          </w:p>
          <w:p>
            <w:pPr>
              <w:pStyle w:val="4"/>
              <w:spacing w:line="240" w:lineRule="auto"/>
              <w:rPr>
                <w:sz w:val="24"/>
                <w:szCs w:val="24"/>
              </w:rPr>
            </w:pPr>
            <w:r>
              <w:rPr>
                <w:sz w:val="24"/>
                <w:szCs w:val="24"/>
              </w:rPr>
              <w:drawing>
                <wp:inline distT="0" distB="0" distL="114300" distR="114300">
                  <wp:extent cx="6035040" cy="6705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6035040" cy="670560"/>
                          </a:xfrm>
                          <a:prstGeom prst="rect">
                            <a:avLst/>
                          </a:prstGeom>
                          <a:noFill/>
                          <a:ln>
                            <a:noFill/>
                          </a:ln>
                        </pic:spPr>
                      </pic:pic>
                    </a:graphicData>
                  </a:graphic>
                </wp:inline>
              </w:drawing>
            </w:r>
          </w:p>
          <w:p>
            <w:pPr>
              <w:pStyle w:val="4"/>
              <w:spacing w:line="240" w:lineRule="auto"/>
              <w:rPr>
                <w:rFonts w:hint="default"/>
                <w:sz w:val="24"/>
                <w:szCs w:val="24"/>
                <w:lang w:val="en-US" w:eastAsia="zh-CN"/>
              </w:rPr>
            </w:pPr>
            <w:r>
              <w:rPr>
                <w:rFonts w:hint="eastAsia"/>
                <w:sz w:val="24"/>
                <w:szCs w:val="24"/>
                <w:lang w:val="en-US" w:eastAsia="zh-CN"/>
              </w:rPr>
              <w:t>---查“重要环境因素清单”2022.1.5.；编审批齐全。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307"/>
              <w:gridCol w:w="1493"/>
              <w:gridCol w:w="1085"/>
              <w:gridCol w:w="882"/>
              <w:gridCol w:w="115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7" w:type="dxa"/>
                  <w:noWrap w:val="0"/>
                  <w:vAlign w:val="center"/>
                </w:tcPr>
                <w:p>
                  <w:pPr>
                    <w:spacing w:line="240" w:lineRule="auto"/>
                    <w:jc w:val="center"/>
                    <w:rPr>
                      <w:rFonts w:hint="eastAsia"/>
                      <w:sz w:val="24"/>
                      <w:szCs w:val="24"/>
                    </w:rPr>
                  </w:pPr>
                  <w:r>
                    <w:rPr>
                      <w:rFonts w:hint="eastAsia"/>
                      <w:sz w:val="24"/>
                      <w:szCs w:val="24"/>
                    </w:rPr>
                    <w:t>序号</w:t>
                  </w:r>
                </w:p>
              </w:tc>
              <w:tc>
                <w:tcPr>
                  <w:tcW w:w="2307" w:type="dxa"/>
                  <w:noWrap w:val="0"/>
                  <w:vAlign w:val="center"/>
                </w:tcPr>
                <w:p>
                  <w:pPr>
                    <w:spacing w:line="240" w:lineRule="auto"/>
                    <w:jc w:val="center"/>
                    <w:rPr>
                      <w:rFonts w:hint="eastAsia"/>
                      <w:b/>
                      <w:bCs/>
                      <w:sz w:val="24"/>
                      <w:szCs w:val="24"/>
                    </w:rPr>
                  </w:pPr>
                  <w:r>
                    <w:rPr>
                      <w:rFonts w:hint="eastAsia"/>
                      <w:b/>
                      <w:bCs/>
                      <w:sz w:val="24"/>
                      <w:szCs w:val="24"/>
                    </w:rPr>
                    <w:t>环境因素</w:t>
                  </w:r>
                </w:p>
              </w:tc>
              <w:tc>
                <w:tcPr>
                  <w:tcW w:w="1493" w:type="dxa"/>
                  <w:noWrap w:val="0"/>
                  <w:vAlign w:val="center"/>
                </w:tcPr>
                <w:p>
                  <w:pPr>
                    <w:spacing w:line="240" w:lineRule="auto"/>
                    <w:jc w:val="center"/>
                    <w:rPr>
                      <w:rFonts w:hint="eastAsia"/>
                      <w:b/>
                      <w:bCs/>
                      <w:sz w:val="24"/>
                      <w:szCs w:val="24"/>
                    </w:rPr>
                  </w:pPr>
                  <w:r>
                    <w:rPr>
                      <w:rFonts w:hint="eastAsia"/>
                      <w:b/>
                      <w:bCs/>
                      <w:sz w:val="24"/>
                      <w:szCs w:val="24"/>
                    </w:rPr>
                    <w:t>活动、产品或服务</w:t>
                  </w:r>
                </w:p>
              </w:tc>
              <w:tc>
                <w:tcPr>
                  <w:tcW w:w="1085" w:type="dxa"/>
                  <w:noWrap w:val="0"/>
                  <w:vAlign w:val="center"/>
                </w:tcPr>
                <w:p>
                  <w:pPr>
                    <w:spacing w:line="240" w:lineRule="auto"/>
                    <w:jc w:val="center"/>
                    <w:rPr>
                      <w:rFonts w:hint="eastAsia"/>
                      <w:b/>
                      <w:bCs/>
                      <w:sz w:val="24"/>
                      <w:szCs w:val="24"/>
                    </w:rPr>
                  </w:pPr>
                  <w:r>
                    <w:rPr>
                      <w:rFonts w:hint="eastAsia"/>
                      <w:b/>
                      <w:bCs/>
                      <w:sz w:val="24"/>
                      <w:szCs w:val="24"/>
                    </w:rPr>
                    <w:t>相关部门</w:t>
                  </w:r>
                </w:p>
              </w:tc>
              <w:tc>
                <w:tcPr>
                  <w:tcW w:w="882" w:type="dxa"/>
                  <w:noWrap w:val="0"/>
                  <w:vAlign w:val="center"/>
                </w:tcPr>
                <w:p>
                  <w:pPr>
                    <w:spacing w:line="240" w:lineRule="auto"/>
                    <w:jc w:val="center"/>
                    <w:rPr>
                      <w:rFonts w:hint="eastAsia"/>
                      <w:b/>
                      <w:bCs/>
                      <w:sz w:val="24"/>
                      <w:szCs w:val="24"/>
                    </w:rPr>
                  </w:pPr>
                  <w:r>
                    <w:rPr>
                      <w:rFonts w:hint="eastAsia"/>
                      <w:b/>
                      <w:bCs/>
                      <w:sz w:val="24"/>
                      <w:szCs w:val="24"/>
                    </w:rPr>
                    <w:t>环境影响</w:t>
                  </w:r>
                </w:p>
              </w:tc>
              <w:tc>
                <w:tcPr>
                  <w:tcW w:w="1153" w:type="dxa"/>
                  <w:noWrap w:val="0"/>
                  <w:vAlign w:val="center"/>
                </w:tcPr>
                <w:p>
                  <w:pPr>
                    <w:spacing w:line="240" w:lineRule="auto"/>
                    <w:jc w:val="center"/>
                    <w:rPr>
                      <w:rFonts w:hint="eastAsia"/>
                      <w:b/>
                      <w:bCs/>
                      <w:sz w:val="24"/>
                      <w:szCs w:val="24"/>
                    </w:rPr>
                  </w:pPr>
                  <w:r>
                    <w:rPr>
                      <w:rFonts w:hint="eastAsia"/>
                      <w:b/>
                      <w:bCs/>
                      <w:sz w:val="24"/>
                      <w:szCs w:val="24"/>
                    </w:rPr>
                    <w:t>时态/状态</w:t>
                  </w:r>
                </w:p>
              </w:tc>
              <w:tc>
                <w:tcPr>
                  <w:tcW w:w="1900" w:type="dxa"/>
                  <w:noWrap w:val="0"/>
                  <w:vAlign w:val="center"/>
                </w:tcPr>
                <w:p>
                  <w:pPr>
                    <w:spacing w:line="240" w:lineRule="auto"/>
                    <w:jc w:val="center"/>
                    <w:rPr>
                      <w:rFonts w:hint="eastAsia"/>
                      <w:b/>
                      <w:bCs/>
                      <w:sz w:val="24"/>
                      <w:szCs w:val="24"/>
                    </w:rPr>
                  </w:pPr>
                  <w:r>
                    <w:rPr>
                      <w:rFonts w:hint="eastAsia"/>
                      <w:b/>
                      <w:bCs/>
                      <w:sz w:val="24"/>
                      <w:szCs w:val="24"/>
                    </w:rPr>
                    <w:t xml:space="preserve">处理对策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77" w:type="dxa"/>
                  <w:noWrap w:val="0"/>
                  <w:vAlign w:val="center"/>
                </w:tcPr>
                <w:p>
                  <w:pPr>
                    <w:spacing w:line="240" w:lineRule="auto"/>
                    <w:jc w:val="center"/>
                    <w:rPr>
                      <w:rFonts w:hint="eastAsia"/>
                      <w:sz w:val="24"/>
                      <w:szCs w:val="24"/>
                    </w:rPr>
                  </w:pPr>
                  <w:r>
                    <w:rPr>
                      <w:rFonts w:hint="eastAsia"/>
                      <w:sz w:val="24"/>
                      <w:szCs w:val="24"/>
                    </w:rPr>
                    <w:t>1</w:t>
                  </w:r>
                </w:p>
              </w:tc>
              <w:tc>
                <w:tcPr>
                  <w:tcW w:w="2307" w:type="dxa"/>
                  <w:noWrap w:val="0"/>
                  <w:vAlign w:val="center"/>
                </w:tcPr>
                <w:p>
                  <w:pPr>
                    <w:spacing w:line="240" w:lineRule="auto"/>
                    <w:rPr>
                      <w:rFonts w:hint="eastAsia" w:ascii="黑体" w:hAnsi="黑体" w:eastAsia="黑体" w:cs="黑体"/>
                      <w:sz w:val="24"/>
                      <w:szCs w:val="24"/>
                    </w:rPr>
                  </w:pPr>
                  <w:r>
                    <w:rPr>
                      <w:rFonts w:hint="eastAsia" w:ascii="黑体" w:hAnsi="黑体" w:eastAsia="黑体" w:cs="黑体"/>
                      <w:sz w:val="24"/>
                      <w:szCs w:val="24"/>
                    </w:rPr>
                    <w:t>危险固废的排放</w:t>
                  </w:r>
                </w:p>
              </w:tc>
              <w:tc>
                <w:tcPr>
                  <w:tcW w:w="1493"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办公废旧灯管、电池、磁盘等废弃</w:t>
                  </w:r>
                </w:p>
              </w:tc>
              <w:tc>
                <w:tcPr>
                  <w:tcW w:w="1085"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全公司</w:t>
                  </w:r>
                </w:p>
              </w:tc>
              <w:tc>
                <w:tcPr>
                  <w:tcW w:w="882"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固废处理</w:t>
                  </w:r>
                </w:p>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污染土壤</w:t>
                  </w:r>
                </w:p>
              </w:tc>
              <w:tc>
                <w:tcPr>
                  <w:tcW w:w="1153"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现在/正常</w:t>
                  </w:r>
                </w:p>
              </w:tc>
              <w:tc>
                <w:tcPr>
                  <w:tcW w:w="1900" w:type="dxa"/>
                  <w:noWrap w:val="0"/>
                  <w:vAlign w:val="center"/>
                </w:tcPr>
                <w:p>
                  <w:pPr>
                    <w:pStyle w:val="4"/>
                    <w:spacing w:line="240" w:lineRule="auto"/>
                    <w:rPr>
                      <w:rFonts w:hint="eastAsia" w:ascii="黑体" w:hAnsi="黑体" w:eastAsia="黑体" w:cs="黑体"/>
                      <w:sz w:val="24"/>
                      <w:szCs w:val="24"/>
                    </w:rPr>
                  </w:pPr>
                  <w:r>
                    <w:rPr>
                      <w:rFonts w:hint="eastAsia" w:ascii="黑体" w:hAnsi="黑体" w:eastAsia="黑体" w:cs="黑体"/>
                      <w:sz w:val="24"/>
                      <w:szCs w:val="24"/>
                    </w:rPr>
                    <w:t>①目标、指标及环境管理方案</w:t>
                  </w:r>
                </w:p>
                <w:p>
                  <w:pPr>
                    <w:spacing w:line="240" w:lineRule="auto"/>
                    <w:rPr>
                      <w:rFonts w:hint="eastAsia" w:ascii="黑体" w:hAnsi="黑体" w:eastAsia="黑体" w:cs="黑体"/>
                      <w:sz w:val="24"/>
                      <w:szCs w:val="24"/>
                    </w:rPr>
                  </w:pPr>
                  <w:r>
                    <w:rPr>
                      <w:rFonts w:hint="eastAsia" w:ascii="黑体" w:hAnsi="黑体" w:eastAsia="黑体" w:cs="黑体"/>
                      <w:sz w:val="24"/>
                      <w:szCs w:val="24"/>
                    </w:rPr>
                    <w:t>②运行控制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77" w:type="dxa"/>
                  <w:noWrap w:val="0"/>
                  <w:vAlign w:val="center"/>
                </w:tcPr>
                <w:p>
                  <w:pPr>
                    <w:spacing w:line="240" w:lineRule="auto"/>
                    <w:jc w:val="center"/>
                    <w:rPr>
                      <w:rFonts w:hint="eastAsia"/>
                      <w:sz w:val="24"/>
                      <w:szCs w:val="24"/>
                    </w:rPr>
                  </w:pPr>
                  <w:r>
                    <w:rPr>
                      <w:rFonts w:hint="eastAsia"/>
                      <w:sz w:val="24"/>
                      <w:szCs w:val="24"/>
                    </w:rPr>
                    <w:t>2</w:t>
                  </w:r>
                </w:p>
              </w:tc>
              <w:tc>
                <w:tcPr>
                  <w:tcW w:w="2307" w:type="dxa"/>
                  <w:noWrap w:val="0"/>
                  <w:vAlign w:val="center"/>
                </w:tcPr>
                <w:p>
                  <w:pPr>
                    <w:spacing w:line="240" w:lineRule="auto"/>
                    <w:rPr>
                      <w:rFonts w:hint="eastAsia" w:ascii="黑体" w:hAnsi="黑体" w:eastAsia="黑体" w:cs="黑体"/>
                      <w:sz w:val="24"/>
                      <w:szCs w:val="24"/>
                    </w:rPr>
                  </w:pPr>
                  <w:r>
                    <w:rPr>
                      <w:rFonts w:hint="eastAsia" w:ascii="黑体" w:hAnsi="黑体" w:eastAsia="黑体" w:cs="黑体"/>
                      <w:sz w:val="24"/>
                      <w:szCs w:val="24"/>
                    </w:rPr>
                    <w:t>电消耗</w:t>
                  </w:r>
                </w:p>
              </w:tc>
              <w:tc>
                <w:tcPr>
                  <w:tcW w:w="1493"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办公用电</w:t>
                  </w:r>
                </w:p>
              </w:tc>
              <w:tc>
                <w:tcPr>
                  <w:tcW w:w="1085"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全公司</w:t>
                  </w:r>
                </w:p>
              </w:tc>
              <w:tc>
                <w:tcPr>
                  <w:tcW w:w="882"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资源消耗</w:t>
                  </w:r>
                </w:p>
              </w:tc>
              <w:tc>
                <w:tcPr>
                  <w:tcW w:w="1153"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现在/正常</w:t>
                  </w:r>
                </w:p>
              </w:tc>
              <w:tc>
                <w:tcPr>
                  <w:tcW w:w="1900" w:type="dxa"/>
                  <w:noWrap w:val="0"/>
                  <w:vAlign w:val="center"/>
                </w:tcPr>
                <w:p>
                  <w:pPr>
                    <w:spacing w:line="240" w:lineRule="auto"/>
                    <w:rPr>
                      <w:rFonts w:hint="eastAsia" w:ascii="黑体" w:hAnsi="黑体" w:eastAsia="黑体" w:cs="黑体"/>
                      <w:sz w:val="24"/>
                      <w:szCs w:val="24"/>
                    </w:rPr>
                  </w:pPr>
                  <w:r>
                    <w:rPr>
                      <w:rFonts w:hint="eastAsia" w:ascii="黑体" w:hAnsi="黑体" w:eastAsia="黑体" w:cs="黑体"/>
                      <w:sz w:val="24"/>
                      <w:szCs w:val="24"/>
                    </w:rPr>
                    <w:t>①运行控制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77" w:type="dxa"/>
                  <w:noWrap w:val="0"/>
                  <w:vAlign w:val="center"/>
                </w:tcPr>
                <w:p>
                  <w:pPr>
                    <w:spacing w:line="240" w:lineRule="auto"/>
                    <w:jc w:val="center"/>
                    <w:rPr>
                      <w:rFonts w:hint="eastAsia"/>
                      <w:sz w:val="24"/>
                      <w:szCs w:val="24"/>
                    </w:rPr>
                  </w:pPr>
                  <w:r>
                    <w:rPr>
                      <w:rFonts w:hint="eastAsia"/>
                      <w:sz w:val="24"/>
                      <w:szCs w:val="24"/>
                    </w:rPr>
                    <w:t>3</w:t>
                  </w:r>
                </w:p>
              </w:tc>
              <w:tc>
                <w:tcPr>
                  <w:tcW w:w="2307" w:type="dxa"/>
                  <w:noWrap w:val="0"/>
                  <w:vAlign w:val="center"/>
                </w:tcPr>
                <w:p>
                  <w:pPr>
                    <w:spacing w:line="240" w:lineRule="auto"/>
                    <w:rPr>
                      <w:rFonts w:hint="eastAsia" w:ascii="黑体" w:hAnsi="黑体" w:eastAsia="黑体" w:cs="黑体"/>
                      <w:sz w:val="24"/>
                      <w:szCs w:val="24"/>
                    </w:rPr>
                  </w:pPr>
                  <w:r>
                    <w:rPr>
                      <w:rFonts w:hint="eastAsia" w:ascii="黑体" w:hAnsi="黑体" w:eastAsia="黑体" w:cs="黑体"/>
                      <w:sz w:val="24"/>
                      <w:szCs w:val="24"/>
                    </w:rPr>
                    <w:t>潜在火灾</w:t>
                  </w:r>
                </w:p>
              </w:tc>
              <w:tc>
                <w:tcPr>
                  <w:tcW w:w="1493"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办公、后勤生活</w:t>
                  </w:r>
                </w:p>
              </w:tc>
              <w:tc>
                <w:tcPr>
                  <w:tcW w:w="1085"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全公司</w:t>
                  </w:r>
                </w:p>
              </w:tc>
              <w:tc>
                <w:tcPr>
                  <w:tcW w:w="882"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大气、土壤等综合性污染</w:t>
                  </w:r>
                </w:p>
              </w:tc>
              <w:tc>
                <w:tcPr>
                  <w:tcW w:w="1153"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将来/异常</w:t>
                  </w:r>
                </w:p>
              </w:tc>
              <w:tc>
                <w:tcPr>
                  <w:tcW w:w="1900" w:type="dxa"/>
                  <w:noWrap w:val="0"/>
                  <w:vAlign w:val="center"/>
                </w:tcPr>
                <w:p>
                  <w:pPr>
                    <w:spacing w:line="240" w:lineRule="auto"/>
                    <w:rPr>
                      <w:rFonts w:hint="eastAsia" w:ascii="黑体" w:hAnsi="黑体" w:eastAsia="黑体" w:cs="黑体"/>
                      <w:sz w:val="24"/>
                      <w:szCs w:val="24"/>
                    </w:rPr>
                  </w:pPr>
                  <w:r>
                    <w:rPr>
                      <w:rFonts w:hint="eastAsia" w:ascii="黑体" w:hAnsi="黑体" w:eastAsia="黑体" w:cs="黑体"/>
                      <w:sz w:val="24"/>
                      <w:szCs w:val="24"/>
                    </w:rPr>
                    <w:t>①应急方案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77" w:type="dxa"/>
                  <w:noWrap w:val="0"/>
                  <w:vAlign w:val="center"/>
                </w:tcPr>
                <w:p>
                  <w:pPr>
                    <w:spacing w:line="240" w:lineRule="auto"/>
                    <w:jc w:val="center"/>
                    <w:rPr>
                      <w:rFonts w:hint="eastAsia"/>
                      <w:sz w:val="24"/>
                      <w:szCs w:val="24"/>
                    </w:rPr>
                  </w:pPr>
                  <w:r>
                    <w:rPr>
                      <w:rFonts w:hint="eastAsia"/>
                      <w:sz w:val="24"/>
                      <w:szCs w:val="24"/>
                    </w:rPr>
                    <w:t>4</w:t>
                  </w:r>
                </w:p>
              </w:tc>
              <w:tc>
                <w:tcPr>
                  <w:tcW w:w="2307" w:type="dxa"/>
                  <w:noWrap w:val="0"/>
                  <w:vAlign w:val="center"/>
                </w:tcPr>
                <w:p>
                  <w:pPr>
                    <w:spacing w:line="240" w:lineRule="auto"/>
                    <w:rPr>
                      <w:rFonts w:hint="eastAsia" w:ascii="黑体" w:hAnsi="黑体" w:eastAsia="黑体" w:cs="黑体"/>
                      <w:sz w:val="24"/>
                      <w:szCs w:val="24"/>
                    </w:rPr>
                  </w:pPr>
                  <w:r>
                    <w:rPr>
                      <w:rFonts w:hint="eastAsia" w:ascii="黑体" w:hAnsi="黑体" w:eastAsia="黑体" w:cs="黑体"/>
                      <w:sz w:val="24"/>
                      <w:szCs w:val="24"/>
                    </w:rPr>
                    <w:t>生活垃圾的排放</w:t>
                  </w:r>
                </w:p>
              </w:tc>
              <w:tc>
                <w:tcPr>
                  <w:tcW w:w="1493" w:type="dxa"/>
                  <w:noWrap w:val="0"/>
                  <w:vAlign w:val="center"/>
                </w:tcPr>
                <w:p>
                  <w:pPr>
                    <w:spacing w:line="240" w:lineRule="auto"/>
                    <w:ind w:firstLine="240" w:firstLineChars="100"/>
                    <w:rPr>
                      <w:rFonts w:hint="eastAsia" w:ascii="黑体" w:hAnsi="黑体" w:eastAsia="黑体" w:cs="黑体"/>
                      <w:sz w:val="24"/>
                      <w:szCs w:val="24"/>
                    </w:rPr>
                  </w:pPr>
                  <w:r>
                    <w:rPr>
                      <w:rFonts w:hint="eastAsia" w:ascii="黑体" w:hAnsi="黑体" w:eastAsia="黑体" w:cs="黑体"/>
                      <w:sz w:val="24"/>
                      <w:szCs w:val="24"/>
                    </w:rPr>
                    <w:t>办公活动</w:t>
                  </w:r>
                </w:p>
              </w:tc>
              <w:tc>
                <w:tcPr>
                  <w:tcW w:w="1085" w:type="dxa"/>
                  <w:noWrap w:val="0"/>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全公司</w:t>
                  </w:r>
                </w:p>
              </w:tc>
              <w:tc>
                <w:tcPr>
                  <w:tcW w:w="882" w:type="dxa"/>
                  <w:noWrap w:val="0"/>
                  <w:vAlign w:val="center"/>
                </w:tcPr>
                <w:p>
                  <w:pPr>
                    <w:spacing w:line="240" w:lineRule="auto"/>
                    <w:rPr>
                      <w:rFonts w:hint="eastAsia" w:ascii="黑体" w:hAnsi="黑体" w:eastAsia="黑体" w:cs="黑体"/>
                      <w:sz w:val="24"/>
                      <w:szCs w:val="24"/>
                    </w:rPr>
                  </w:pPr>
                  <w:r>
                    <w:rPr>
                      <w:rFonts w:hint="eastAsia" w:ascii="黑体" w:hAnsi="黑体" w:eastAsia="黑体" w:cs="黑体"/>
                      <w:sz w:val="24"/>
                      <w:szCs w:val="24"/>
                    </w:rPr>
                    <w:t>大气污染</w:t>
                  </w:r>
                </w:p>
                <w:p>
                  <w:pPr>
                    <w:spacing w:line="240" w:lineRule="auto"/>
                    <w:rPr>
                      <w:rFonts w:hint="eastAsia" w:ascii="黑体" w:hAnsi="黑体" w:eastAsia="黑体" w:cs="黑体"/>
                      <w:sz w:val="24"/>
                      <w:szCs w:val="24"/>
                    </w:rPr>
                  </w:pPr>
                  <w:r>
                    <w:rPr>
                      <w:rFonts w:hint="eastAsia" w:ascii="黑体" w:hAnsi="黑体" w:eastAsia="黑体" w:cs="黑体"/>
                      <w:sz w:val="24"/>
                      <w:szCs w:val="24"/>
                    </w:rPr>
                    <w:t>土壤污染</w:t>
                  </w:r>
                </w:p>
              </w:tc>
              <w:tc>
                <w:tcPr>
                  <w:tcW w:w="1153" w:type="dxa"/>
                  <w:noWrap w:val="0"/>
                  <w:vAlign w:val="center"/>
                </w:tcPr>
                <w:p>
                  <w:pPr>
                    <w:spacing w:line="24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现在/正常</w:t>
                  </w:r>
                </w:p>
              </w:tc>
              <w:tc>
                <w:tcPr>
                  <w:tcW w:w="1900" w:type="dxa"/>
                  <w:noWrap w:val="0"/>
                  <w:vAlign w:val="center"/>
                </w:tcPr>
                <w:p>
                  <w:pPr>
                    <w:spacing w:line="240" w:lineRule="auto"/>
                    <w:rPr>
                      <w:rFonts w:hint="eastAsia" w:ascii="黑体" w:hAnsi="黑体" w:eastAsia="黑体" w:cs="黑体"/>
                      <w:sz w:val="24"/>
                      <w:szCs w:val="24"/>
                    </w:rPr>
                  </w:pPr>
                  <w:r>
                    <w:rPr>
                      <w:rFonts w:hint="eastAsia" w:ascii="黑体" w:hAnsi="黑体" w:eastAsia="黑体" w:cs="黑体"/>
                      <w:sz w:val="24"/>
                      <w:szCs w:val="24"/>
                    </w:rPr>
                    <w:t>①物业公司处理</w:t>
                  </w:r>
                </w:p>
              </w:tc>
            </w:tr>
          </w:tbl>
          <w:p>
            <w:pPr>
              <w:pStyle w:val="4"/>
              <w:spacing w:line="240" w:lineRule="auto"/>
              <w:rPr>
                <w:rFonts w:hint="eastAsia"/>
                <w:sz w:val="24"/>
                <w:szCs w:val="24"/>
                <w:lang w:val="en-US" w:eastAsia="zh-CN"/>
              </w:rPr>
            </w:pPr>
          </w:p>
          <w:p>
            <w:pPr>
              <w:pStyle w:val="4"/>
              <w:spacing w:line="240" w:lineRule="auto"/>
              <w:rPr>
                <w:rFonts w:hint="eastAsia"/>
                <w:sz w:val="24"/>
                <w:szCs w:val="24"/>
                <w:lang w:val="en-US" w:eastAsia="zh-CN"/>
              </w:rPr>
            </w:pPr>
            <w:r>
              <w:rPr>
                <w:rFonts w:hint="eastAsia"/>
                <w:sz w:val="24"/>
                <w:szCs w:val="24"/>
                <w:lang w:val="en-US" w:eastAsia="zh-CN"/>
              </w:rPr>
              <w:t>——控制基本有效</w:t>
            </w:r>
          </w:p>
          <w:p>
            <w:pPr>
              <w:pStyle w:val="4"/>
              <w:spacing w:line="240" w:lineRule="auto"/>
              <w:rPr>
                <w:rFonts w:hint="default"/>
                <w:sz w:val="24"/>
                <w:szCs w:val="24"/>
                <w:lang w:val="en-US" w:eastAsia="zh-CN"/>
              </w:rPr>
            </w:pPr>
          </w:p>
          <w:p>
            <w:pPr>
              <w:spacing w:line="240" w:lineRule="auto"/>
              <w:jc w:val="left"/>
              <w:rPr>
                <w:rFonts w:hint="default"/>
                <w:sz w:val="24"/>
                <w:szCs w:val="24"/>
                <w:lang w:val="en-US" w:eastAsia="zh-CN"/>
              </w:rPr>
            </w:pPr>
            <w:r>
              <w:rPr>
                <w:rFonts w:hint="eastAsia"/>
                <w:sz w:val="24"/>
                <w:szCs w:val="24"/>
                <w:lang w:val="en-US" w:eastAsia="zh-CN"/>
              </w:rPr>
              <w:t>---查“危险源辩识及风险评价表”2022.1.5；识别业务经营管理全过程的危险源和职业健康安全管理体系的其他风险具体有：不遵守交通法规,发生交通事故、电线老化，导致触电、复印机辐射伤害等共38项。</w:t>
            </w:r>
            <w:r>
              <w:rPr>
                <w:rFonts w:hint="eastAsia" w:ascii="Times New Roman" w:hAnsi="Times New Roman" w:eastAsia="宋体" w:cs="Times New Roman"/>
                <w:sz w:val="24"/>
                <w:szCs w:val="24"/>
                <w:lang w:val="en-US" w:eastAsia="zh-CN"/>
              </w:rPr>
              <w:t>——未识别管理措施及个人防护不当导致新冠病毒感染。</w:t>
            </w:r>
          </w:p>
          <w:p>
            <w:pPr>
              <w:spacing w:line="240" w:lineRule="auto"/>
              <w:jc w:val="left"/>
              <w:rPr>
                <w:rFonts w:hint="eastAsia"/>
                <w:sz w:val="24"/>
                <w:szCs w:val="24"/>
                <w:lang w:val="en-US" w:eastAsia="zh-CN"/>
              </w:rPr>
            </w:pPr>
            <w:r>
              <w:rPr>
                <w:rFonts w:hint="eastAsia"/>
                <w:sz w:val="24"/>
                <w:szCs w:val="24"/>
                <w:lang w:val="en-US" w:eastAsia="zh-CN"/>
              </w:rPr>
              <w:t>---查“不可接受风险清单”清单，识别的主要危险源及职业健康安全风险：</w:t>
            </w:r>
          </w:p>
          <w:p>
            <w:pPr>
              <w:spacing w:line="240" w:lineRule="auto"/>
              <w:jc w:val="left"/>
              <w:rPr>
                <w:rFonts w:hint="default" w:eastAsia="宋体"/>
                <w:sz w:val="24"/>
                <w:szCs w:val="24"/>
                <w:lang w:val="en-US" w:eastAsia="zh-CN"/>
              </w:rPr>
            </w:pPr>
            <w:r>
              <w:rPr>
                <w:rFonts w:hint="eastAsia"/>
                <w:sz w:val="24"/>
                <w:szCs w:val="24"/>
                <w:lang w:val="en-US" w:eastAsia="zh-CN"/>
              </w:rPr>
              <w:t>1</w:t>
            </w:r>
            <w:r>
              <w:rPr>
                <w:rFonts w:hint="eastAsia" w:eastAsia="宋体"/>
                <w:sz w:val="24"/>
                <w:szCs w:val="24"/>
                <w:lang w:val="en-US" w:eastAsia="zh-CN"/>
              </w:rPr>
              <w:t>、</w:t>
            </w:r>
            <w:r>
              <w:rPr>
                <w:rFonts w:hint="default" w:eastAsia="宋体"/>
                <w:sz w:val="24"/>
                <w:szCs w:val="24"/>
                <w:lang w:val="en-US" w:eastAsia="zh-CN"/>
              </w:rPr>
              <w:t>触电（私拉电线、设备漏电、违章作业等）</w:t>
            </w:r>
            <w:r>
              <w:rPr>
                <w:rFonts w:hint="eastAsia" w:eastAsia="宋体"/>
                <w:sz w:val="24"/>
                <w:szCs w:val="24"/>
                <w:lang w:val="en-US" w:eastAsia="zh-CN"/>
              </w:rPr>
              <w:t>/</w:t>
            </w:r>
            <w:r>
              <w:rPr>
                <w:rFonts w:hint="default" w:eastAsia="宋体"/>
                <w:sz w:val="24"/>
                <w:szCs w:val="24"/>
                <w:lang w:val="en-US" w:eastAsia="zh-CN"/>
              </w:rPr>
              <w:t xml:space="preserve"> 触电伤亡</w:t>
            </w:r>
          </w:p>
          <w:p>
            <w:pPr>
              <w:spacing w:line="240" w:lineRule="auto"/>
              <w:jc w:val="left"/>
              <w:rPr>
                <w:rFonts w:hint="default" w:eastAsia="宋体"/>
                <w:sz w:val="24"/>
                <w:szCs w:val="24"/>
                <w:lang w:val="en-US" w:eastAsia="zh-CN"/>
              </w:rPr>
            </w:pPr>
            <w:r>
              <w:rPr>
                <w:rFonts w:hint="eastAsia" w:eastAsia="宋体"/>
                <w:sz w:val="24"/>
                <w:szCs w:val="24"/>
                <w:lang w:val="en-US" w:eastAsia="zh-CN"/>
              </w:rPr>
              <w:t>2、</w:t>
            </w:r>
            <w:r>
              <w:rPr>
                <w:rFonts w:hint="default" w:eastAsia="宋体"/>
                <w:sz w:val="24"/>
                <w:szCs w:val="24"/>
                <w:lang w:val="en-US" w:eastAsia="zh-CN"/>
              </w:rPr>
              <w:t>潜在火灾事故（电线老化；易燃处吸烟、动火等）</w:t>
            </w:r>
            <w:r>
              <w:rPr>
                <w:rFonts w:hint="eastAsia" w:eastAsia="宋体"/>
                <w:sz w:val="24"/>
                <w:szCs w:val="24"/>
                <w:lang w:val="en-US" w:eastAsia="zh-CN"/>
              </w:rPr>
              <w:t xml:space="preserve"> / </w:t>
            </w:r>
            <w:r>
              <w:rPr>
                <w:rFonts w:hint="default" w:eastAsia="宋体"/>
                <w:sz w:val="24"/>
                <w:szCs w:val="24"/>
                <w:lang w:val="en-US" w:eastAsia="zh-CN"/>
              </w:rPr>
              <w:t>火灾伤亡</w:t>
            </w:r>
          </w:p>
          <w:p>
            <w:pPr>
              <w:spacing w:line="240" w:lineRule="auto"/>
              <w:jc w:val="left"/>
              <w:rPr>
                <w:rFonts w:hint="default" w:eastAsia="宋体"/>
                <w:sz w:val="24"/>
                <w:szCs w:val="24"/>
                <w:lang w:val="en-US" w:eastAsia="zh-CN"/>
              </w:rPr>
            </w:pPr>
            <w:r>
              <w:rPr>
                <w:rFonts w:hint="eastAsia" w:eastAsia="宋体"/>
                <w:sz w:val="24"/>
                <w:szCs w:val="24"/>
                <w:lang w:val="en-US" w:eastAsia="zh-CN"/>
              </w:rPr>
              <w:t>3、</w:t>
            </w:r>
            <w:r>
              <w:rPr>
                <w:rFonts w:hint="default" w:eastAsia="宋体"/>
                <w:sz w:val="24"/>
                <w:szCs w:val="24"/>
                <w:lang w:val="en-US" w:eastAsia="zh-CN"/>
              </w:rPr>
              <w:t>交通事故</w:t>
            </w:r>
            <w:r>
              <w:rPr>
                <w:rFonts w:hint="eastAsia" w:eastAsia="宋体"/>
                <w:sz w:val="24"/>
                <w:szCs w:val="24"/>
                <w:lang w:val="en-US" w:eastAsia="zh-CN"/>
              </w:rPr>
              <w:t xml:space="preserve"> / </w:t>
            </w:r>
            <w:r>
              <w:rPr>
                <w:rFonts w:hint="default" w:eastAsia="宋体"/>
                <w:sz w:val="24"/>
                <w:szCs w:val="24"/>
                <w:lang w:val="en-US" w:eastAsia="zh-CN"/>
              </w:rPr>
              <w:t>意外伤亡</w:t>
            </w:r>
          </w:p>
          <w:p>
            <w:pPr>
              <w:spacing w:line="240" w:lineRule="auto"/>
              <w:jc w:val="left"/>
              <w:rPr>
                <w:rFonts w:hint="eastAsia"/>
                <w:sz w:val="24"/>
                <w:szCs w:val="24"/>
                <w:lang w:val="en-US" w:eastAsia="zh-CN"/>
              </w:rPr>
            </w:pPr>
            <w:r>
              <w:rPr>
                <w:rFonts w:hint="eastAsia" w:eastAsia="宋体"/>
                <w:sz w:val="24"/>
                <w:szCs w:val="24"/>
                <w:lang w:val="en-US" w:eastAsia="zh-CN"/>
              </w:rPr>
              <w:t>措施：运行控制、管理方案、应急预案。</w:t>
            </w:r>
          </w:p>
          <w:p>
            <w:pPr>
              <w:spacing w:line="240" w:lineRule="auto"/>
              <w:rPr>
                <w:sz w:val="24"/>
                <w:szCs w:val="24"/>
              </w:rPr>
            </w:pPr>
            <w:r>
              <w:rPr>
                <w:rFonts w:hint="eastAsia" w:eastAsia="宋体"/>
                <w:sz w:val="24"/>
                <w:szCs w:val="24"/>
                <w:lang w:val="en-US" w:eastAsia="zh-CN"/>
              </w:rPr>
              <w:t>——基本符合</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sz w:val="24"/>
                <w:szCs w:val="24"/>
              </w:rPr>
            </w:pPr>
            <w:r>
              <w:rPr>
                <w:rFonts w:hint="eastAsia" w:cs="Arial" w:asciiTheme="minorEastAsia" w:hAnsiTheme="minorEastAsia" w:eastAsiaTheme="minorEastAsia"/>
                <w:color w:val="000000" w:themeColor="text1"/>
                <w:sz w:val="24"/>
                <w:szCs w:val="24"/>
              </w:rPr>
              <w:t>运行控制</w:t>
            </w:r>
          </w:p>
        </w:tc>
        <w:tc>
          <w:tcPr>
            <w:tcW w:w="960" w:type="dxa"/>
          </w:tcPr>
          <w:p>
            <w:pPr>
              <w:spacing w:line="240" w:lineRule="auto"/>
              <w:rPr>
                <w:rFonts w:hint="default"/>
                <w:sz w:val="24"/>
                <w:szCs w:val="24"/>
                <w:lang w:val="en-US" w:eastAsia="zh-CN"/>
              </w:rPr>
            </w:pPr>
            <w:r>
              <w:rPr>
                <w:rFonts w:hint="eastAsia"/>
                <w:sz w:val="24"/>
                <w:szCs w:val="24"/>
                <w:lang w:val="en-US" w:eastAsia="zh-CN"/>
              </w:rPr>
              <w:t>ES8.1</w:t>
            </w:r>
          </w:p>
        </w:tc>
        <w:tc>
          <w:tcPr>
            <w:tcW w:w="10004" w:type="dxa"/>
          </w:tcPr>
          <w:p>
            <w:pPr>
              <w:spacing w:line="240" w:lineRule="auto"/>
              <w:rPr>
                <w:rFonts w:hint="eastAsia"/>
                <w:sz w:val="24"/>
                <w:szCs w:val="24"/>
                <w:lang w:val="en-US" w:eastAsia="zh-CN"/>
              </w:rPr>
            </w:pPr>
            <w:r>
              <w:rPr>
                <w:rFonts w:hint="eastAsia"/>
                <w:sz w:val="24"/>
                <w:szCs w:val="24"/>
                <w:lang w:val="en-US" w:eastAsia="zh-CN"/>
              </w:rPr>
              <w:t>---策划：《管理手册8.1条款》、《运行控制管理程序》、</w:t>
            </w:r>
            <w:r>
              <w:rPr>
                <w:rFonts w:hint="eastAsia"/>
                <w:sz w:val="24"/>
                <w:szCs w:val="24"/>
              </w:rPr>
              <w:t>《消防安全管理程序》</w:t>
            </w:r>
            <w:r>
              <w:rPr>
                <w:rFonts w:hint="eastAsia"/>
                <w:sz w:val="24"/>
                <w:szCs w:val="24"/>
                <w:lang w:eastAsia="zh-CN"/>
              </w:rPr>
              <w:t>、</w:t>
            </w:r>
            <w:r>
              <w:rPr>
                <w:rFonts w:hint="eastAsia"/>
                <w:sz w:val="24"/>
                <w:szCs w:val="24"/>
              </w:rPr>
              <w:t>《对相关方施加影响管理程序》</w:t>
            </w:r>
            <w:r>
              <w:rPr>
                <w:rFonts w:hint="eastAsia"/>
                <w:sz w:val="24"/>
                <w:szCs w:val="24"/>
                <w:lang w:eastAsia="zh-CN"/>
              </w:rPr>
              <w:t>；</w:t>
            </w:r>
            <w:r>
              <w:rPr>
                <w:rFonts w:hint="eastAsia"/>
                <w:sz w:val="24"/>
                <w:szCs w:val="24"/>
              </w:rPr>
              <w:t>固体废物管理规定</w:t>
            </w:r>
            <w:r>
              <w:rPr>
                <w:rFonts w:hint="eastAsia"/>
                <w:sz w:val="24"/>
                <w:szCs w:val="24"/>
                <w:lang w:eastAsia="zh-CN"/>
              </w:rPr>
              <w:t>、能源资源管理规定、消防设施管理规定</w:t>
            </w:r>
            <w:r>
              <w:rPr>
                <w:rFonts w:hint="eastAsia"/>
                <w:sz w:val="24"/>
                <w:szCs w:val="24"/>
                <w:lang w:val="en-US" w:eastAsia="zh-CN"/>
              </w:rPr>
              <w:t>等程序和文件。</w:t>
            </w:r>
          </w:p>
          <w:p>
            <w:pPr>
              <w:pStyle w:val="4"/>
              <w:spacing w:line="240" w:lineRule="auto"/>
              <w:rPr>
                <w:rFonts w:hint="eastAsia" w:ascii="黑体" w:hAnsi="新宋体" w:eastAsia="黑体"/>
                <w:color w:val="000000"/>
                <w:sz w:val="24"/>
                <w:szCs w:val="24"/>
                <w:lang w:val="en-US" w:eastAsia="zh-CN"/>
              </w:rPr>
            </w:pPr>
            <w:r>
              <w:rPr>
                <w:rFonts w:hint="eastAsia" w:ascii="黑体" w:hAnsi="新宋体" w:eastAsia="黑体"/>
                <w:color w:val="000000"/>
                <w:sz w:val="24"/>
                <w:szCs w:val="24"/>
                <w:lang w:val="en-US" w:eastAsia="zh-CN"/>
              </w:rPr>
              <w:t>---实施</w:t>
            </w:r>
          </w:p>
          <w:p>
            <w:pPr>
              <w:pStyle w:val="4"/>
              <w:numPr>
                <w:ilvl w:val="0"/>
                <w:numId w:val="2"/>
              </w:numPr>
              <w:spacing w:line="240" w:lineRule="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负责人表述，下班</w:t>
            </w:r>
            <w:r>
              <w:rPr>
                <w:rFonts w:hint="eastAsia" w:ascii="宋体" w:hAnsi="宋体" w:eastAsia="宋体" w:cs="宋体"/>
                <w:b w:val="0"/>
                <w:bCs w:val="0"/>
                <w:color w:val="auto"/>
                <w:sz w:val="24"/>
                <w:szCs w:val="24"/>
              </w:rPr>
              <w:t>关闭电源</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纸张双面打印，废纸由废品站收购，废旧硒鼓、墨盒交由物业处理。</w:t>
            </w:r>
          </w:p>
          <w:p>
            <w:pPr>
              <w:pStyle w:val="4"/>
              <w:numPr>
                <w:ilvl w:val="0"/>
                <w:numId w:val="2"/>
              </w:numPr>
              <w:spacing w:line="240" w:lineRule="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远程视频查看：走道及办公室干净整洁，无杂物堆放，无明显噪声，无线路胡乱搭接，无明显安全隐患，办公环境适宜。</w:t>
            </w:r>
          </w:p>
          <w:p>
            <w:pPr>
              <w:numPr>
                <w:ilvl w:val="0"/>
                <w:numId w:val="0"/>
              </w:numPr>
              <w:spacing w:line="240" w:lineRule="auto"/>
              <w:rPr>
                <w:rFonts w:hint="eastAsia"/>
                <w:sz w:val="24"/>
                <w:szCs w:val="24"/>
                <w:highlight w:val="none"/>
                <w:lang w:val="en-US" w:eastAsia="zh-CN"/>
              </w:rPr>
            </w:pPr>
            <w:r>
              <w:rPr>
                <w:rFonts w:hint="eastAsia"/>
                <w:sz w:val="24"/>
                <w:szCs w:val="24"/>
                <w:highlight w:val="none"/>
                <w:lang w:val="en-US" w:eastAsia="zh-CN"/>
              </w:rPr>
              <w:t>3、灭火器和消防栓的定期检查：</w:t>
            </w:r>
            <w:r>
              <w:rPr>
                <w:rFonts w:hint="eastAsia" w:ascii="Times New Roman" w:hAnsi="Times New Roman" w:eastAsia="宋体" w:cs="Times New Roman"/>
                <w:sz w:val="24"/>
                <w:szCs w:val="24"/>
                <w:lang w:val="en-US" w:eastAsia="zh-CN"/>
              </w:rPr>
              <w:t>提供有“消防器材检查记录表”，</w:t>
            </w:r>
            <w:r>
              <w:rPr>
                <w:rFonts w:hint="eastAsia"/>
                <w:sz w:val="24"/>
                <w:szCs w:val="24"/>
                <w:highlight w:val="none"/>
                <w:lang w:val="en-US" w:eastAsia="zh-CN"/>
              </w:rPr>
              <w:t>2022年1~5月均有灭火器检查，无异常。</w:t>
            </w:r>
          </w:p>
          <w:p>
            <w:pPr>
              <w:pStyle w:val="2"/>
              <w:numPr>
                <w:ilvl w:val="0"/>
                <w:numId w:val="0"/>
              </w:numPr>
              <w:spacing w:line="240" w:lineRule="auto"/>
              <w:rPr>
                <w:rFonts w:hint="eastAsia"/>
                <w:sz w:val="24"/>
                <w:szCs w:val="24"/>
                <w:lang w:val="en-US" w:eastAsia="zh-CN"/>
              </w:rPr>
            </w:pPr>
            <w:r>
              <w:rPr>
                <w:rFonts w:hint="eastAsia"/>
                <w:sz w:val="24"/>
                <w:szCs w:val="24"/>
                <w:lang w:val="en-US" w:eastAsia="zh-CN"/>
              </w:rPr>
              <w:t>4、采用管理控制消除危险源和降低职业健康安全风险，包括培训，提供有2022年培训计划及培训记录。</w:t>
            </w:r>
          </w:p>
          <w:p>
            <w:pPr>
              <w:pStyle w:val="2"/>
              <w:numPr>
                <w:ilvl w:val="0"/>
                <w:numId w:val="0"/>
              </w:numPr>
              <w:spacing w:line="240" w:lineRule="auto"/>
              <w:rPr>
                <w:rFonts w:hint="eastAsia"/>
                <w:sz w:val="24"/>
                <w:szCs w:val="24"/>
                <w:lang w:val="en-US" w:eastAsia="zh-CN"/>
              </w:rPr>
            </w:pPr>
            <w:r>
              <w:rPr>
                <w:rFonts w:hint="eastAsia"/>
                <w:sz w:val="24"/>
                <w:szCs w:val="24"/>
                <w:lang w:val="en-US" w:eastAsia="zh-CN"/>
              </w:rPr>
              <w:t>5、公用工程：</w:t>
            </w:r>
          </w:p>
          <w:p>
            <w:pPr>
              <w:pStyle w:val="2"/>
              <w:numPr>
                <w:ilvl w:val="0"/>
                <w:numId w:val="0"/>
              </w:numPr>
              <w:spacing w:line="240" w:lineRule="auto"/>
              <w:rPr>
                <w:rFonts w:hint="eastAsia"/>
                <w:sz w:val="24"/>
                <w:szCs w:val="24"/>
                <w:lang w:val="en-US" w:eastAsia="zh-CN"/>
              </w:rPr>
            </w:pPr>
            <w:r>
              <w:rPr>
                <w:rFonts w:hint="eastAsia"/>
                <w:sz w:val="24"/>
                <w:szCs w:val="24"/>
                <w:lang w:val="en-US" w:eastAsia="zh-CN"/>
              </w:rPr>
              <w:t>消防中控室管理——由业主负责提供；</w:t>
            </w:r>
          </w:p>
          <w:p>
            <w:pPr>
              <w:pStyle w:val="2"/>
              <w:numPr>
                <w:ilvl w:val="0"/>
                <w:numId w:val="0"/>
              </w:numPr>
              <w:spacing w:line="240" w:lineRule="auto"/>
              <w:rPr>
                <w:rFonts w:hint="eastAsia"/>
                <w:sz w:val="24"/>
                <w:szCs w:val="24"/>
                <w:lang w:val="en-US" w:eastAsia="zh-CN"/>
              </w:rPr>
            </w:pPr>
            <w:r>
              <w:rPr>
                <w:rFonts w:hint="eastAsia"/>
                <w:sz w:val="24"/>
                <w:szCs w:val="24"/>
                <w:lang w:val="en-US" w:eastAsia="zh-CN"/>
              </w:rPr>
              <w:t>消防泵房管理——由业主负责提供；</w:t>
            </w:r>
          </w:p>
          <w:p>
            <w:pPr>
              <w:pStyle w:val="2"/>
              <w:numPr>
                <w:ilvl w:val="0"/>
                <w:numId w:val="0"/>
              </w:numPr>
              <w:spacing w:line="240" w:lineRule="auto"/>
              <w:rPr>
                <w:rFonts w:hint="eastAsia" w:ascii="Times New Roman" w:hAnsi="Times New Roman" w:eastAsia="宋体" w:cs="Times New Roman"/>
                <w:sz w:val="24"/>
                <w:szCs w:val="24"/>
                <w:lang w:val="en-US" w:eastAsia="zh-CN"/>
              </w:rPr>
            </w:pPr>
            <w:r>
              <w:rPr>
                <w:rFonts w:hint="eastAsia"/>
                <w:sz w:val="24"/>
                <w:szCs w:val="24"/>
                <w:lang w:val="en-US" w:eastAsia="zh-CN"/>
              </w:rPr>
              <w:t>消防设施维护——由业主负责提供；微信视频查看，在行政部、综合办公室共用的大办公室门口有一个灭火栓及消防箱，状态良好；行政部负责</w:t>
            </w:r>
            <w:r>
              <w:rPr>
                <w:rFonts w:hint="eastAsia" w:ascii="Times New Roman" w:hAnsi="Times New Roman" w:eastAsia="宋体" w:cs="Times New Roman"/>
                <w:sz w:val="24"/>
                <w:szCs w:val="24"/>
                <w:lang w:val="en-US" w:eastAsia="zh-CN"/>
              </w:rPr>
              <w:t>人李少飞每月点检一次。</w:t>
            </w:r>
          </w:p>
          <w:p>
            <w:pPr>
              <w:pStyle w:val="4"/>
              <w:numPr>
                <w:ilvl w:val="0"/>
                <w:numId w:val="3"/>
              </w:numPr>
              <w:spacing w:line="240" w:lineRule="auto"/>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提供“工作环境、安全检查表”抽查2022.1.28.如下</w:t>
            </w:r>
          </w:p>
          <w:p>
            <w:pPr>
              <w:pStyle w:val="4"/>
              <w:numPr>
                <w:ilvl w:val="0"/>
                <w:numId w:val="0"/>
              </w:numPr>
              <w:spacing w:line="240" w:lineRule="auto"/>
              <w:rPr>
                <w:rFonts w:hint="default" w:ascii="Times New Roman" w:hAnsi="Times New Roman" w:eastAsia="宋体" w:cs="Times New Roman"/>
                <w:bCs/>
                <w:spacing w:val="10"/>
                <w:kern w:val="2"/>
                <w:sz w:val="24"/>
                <w:szCs w:val="24"/>
                <w:lang w:val="en-US" w:eastAsia="zh-CN" w:bidi="ar-SA"/>
              </w:rPr>
            </w:pPr>
            <w:r>
              <w:rPr>
                <w:rFonts w:hint="default" w:ascii="Times New Roman" w:hAnsi="Times New Roman" w:eastAsia="宋体" w:cs="Times New Roman"/>
                <w:bCs/>
                <w:spacing w:val="10"/>
                <w:kern w:val="2"/>
                <w:sz w:val="24"/>
                <w:szCs w:val="24"/>
                <w:lang w:val="en-US" w:eastAsia="zh-CN" w:bidi="ar-SA"/>
              </w:rPr>
              <w:t>序号</w:t>
            </w:r>
            <w:r>
              <w:rPr>
                <w:rFonts w:hint="default" w:ascii="Times New Roman" w:hAnsi="Times New Roman" w:eastAsia="宋体" w:cs="Times New Roman"/>
                <w:bCs/>
                <w:spacing w:val="10"/>
                <w:kern w:val="2"/>
                <w:sz w:val="24"/>
                <w:szCs w:val="24"/>
                <w:lang w:val="en-US" w:eastAsia="zh-CN" w:bidi="ar-SA"/>
              </w:rPr>
              <w:tab/>
            </w:r>
            <w:r>
              <w:rPr>
                <w:rFonts w:hint="default" w:ascii="Times New Roman" w:hAnsi="Times New Roman" w:eastAsia="宋体" w:cs="Times New Roman"/>
                <w:bCs/>
                <w:spacing w:val="10"/>
                <w:kern w:val="2"/>
                <w:sz w:val="24"/>
                <w:szCs w:val="24"/>
                <w:lang w:val="en-US" w:eastAsia="zh-CN" w:bidi="ar-SA"/>
              </w:rPr>
              <w:t>考核内容</w:t>
            </w:r>
            <w:r>
              <w:rPr>
                <w:rFonts w:hint="default" w:ascii="Times New Roman" w:hAnsi="Times New Roman" w:eastAsia="宋体" w:cs="Times New Roman"/>
                <w:bCs/>
                <w:spacing w:val="10"/>
                <w:kern w:val="2"/>
                <w:sz w:val="24"/>
                <w:szCs w:val="24"/>
                <w:lang w:val="en-US" w:eastAsia="zh-CN" w:bidi="ar-SA"/>
              </w:rPr>
              <w:tab/>
            </w:r>
            <w:r>
              <w:rPr>
                <w:rFonts w:hint="default" w:ascii="Times New Roman" w:hAnsi="Times New Roman" w:eastAsia="宋体" w:cs="Times New Roman"/>
                <w:bCs/>
                <w:spacing w:val="10"/>
                <w:kern w:val="2"/>
                <w:sz w:val="24"/>
                <w:szCs w:val="24"/>
                <w:lang w:val="en-US" w:eastAsia="zh-CN" w:bidi="ar-SA"/>
              </w:rPr>
              <w:t>检查结果</w:t>
            </w:r>
          </w:p>
          <w:p>
            <w:pPr>
              <w:pStyle w:val="4"/>
              <w:numPr>
                <w:ilvl w:val="0"/>
                <w:numId w:val="0"/>
              </w:numPr>
              <w:spacing w:line="240" w:lineRule="auto"/>
              <w:rPr>
                <w:rFonts w:hint="default" w:ascii="Times New Roman" w:hAnsi="Times New Roman" w:eastAsia="宋体" w:cs="Times New Roman"/>
                <w:bCs/>
                <w:spacing w:val="10"/>
                <w:kern w:val="2"/>
                <w:sz w:val="24"/>
                <w:szCs w:val="24"/>
                <w:lang w:val="en-US" w:eastAsia="zh-CN" w:bidi="ar-SA"/>
              </w:rPr>
            </w:pPr>
            <w:r>
              <w:rPr>
                <w:rFonts w:hint="default" w:ascii="Times New Roman" w:hAnsi="Times New Roman" w:eastAsia="宋体" w:cs="Times New Roman"/>
                <w:bCs/>
                <w:spacing w:val="10"/>
                <w:kern w:val="2"/>
                <w:sz w:val="24"/>
                <w:szCs w:val="24"/>
                <w:lang w:val="en-US" w:eastAsia="zh-CN" w:bidi="ar-SA"/>
              </w:rPr>
              <w:t>1</w:t>
            </w:r>
            <w:r>
              <w:rPr>
                <w:rFonts w:hint="eastAsia" w:ascii="Times New Roman" w:hAnsi="Times New Roman" w:eastAsia="宋体" w:cs="Times New Roman"/>
                <w:bCs/>
                <w:spacing w:val="10"/>
                <w:kern w:val="2"/>
                <w:sz w:val="24"/>
                <w:szCs w:val="24"/>
                <w:lang w:val="en-US" w:eastAsia="zh-CN" w:bidi="ar-SA"/>
              </w:rPr>
              <w:t>）</w:t>
            </w:r>
            <w:r>
              <w:rPr>
                <w:rFonts w:hint="default" w:ascii="Times New Roman" w:hAnsi="Times New Roman" w:eastAsia="宋体" w:cs="Times New Roman"/>
                <w:bCs/>
                <w:spacing w:val="10"/>
                <w:kern w:val="2"/>
                <w:sz w:val="24"/>
                <w:szCs w:val="24"/>
                <w:lang w:val="en-US" w:eastAsia="zh-CN" w:bidi="ar-SA"/>
              </w:rPr>
              <w:tab/>
            </w:r>
            <w:r>
              <w:rPr>
                <w:rFonts w:hint="default" w:ascii="Times New Roman" w:hAnsi="Times New Roman" w:eastAsia="宋体" w:cs="Times New Roman"/>
                <w:bCs/>
                <w:spacing w:val="10"/>
                <w:kern w:val="2"/>
                <w:sz w:val="24"/>
                <w:szCs w:val="24"/>
                <w:lang w:val="en-US" w:eastAsia="zh-CN" w:bidi="ar-SA"/>
              </w:rPr>
              <w:t>电器设备有无乱接线现象、电线老化现象</w:t>
            </w:r>
            <w:r>
              <w:rPr>
                <w:rFonts w:hint="default" w:ascii="Times New Roman" w:hAnsi="Times New Roman" w:eastAsia="宋体" w:cs="Times New Roman"/>
                <w:bCs/>
                <w:spacing w:val="10"/>
                <w:kern w:val="2"/>
                <w:sz w:val="24"/>
                <w:szCs w:val="24"/>
                <w:lang w:val="en-US" w:eastAsia="zh-CN" w:bidi="ar-SA"/>
              </w:rPr>
              <w:tab/>
            </w:r>
            <w:r>
              <w:rPr>
                <w:rFonts w:hint="default" w:ascii="Times New Roman" w:hAnsi="Times New Roman" w:eastAsia="宋体" w:cs="Times New Roman"/>
                <w:bCs/>
                <w:spacing w:val="10"/>
                <w:kern w:val="2"/>
                <w:sz w:val="24"/>
                <w:szCs w:val="24"/>
                <w:lang w:val="en-US" w:eastAsia="zh-CN" w:bidi="ar-SA"/>
              </w:rPr>
              <w:t>√</w:t>
            </w:r>
          </w:p>
          <w:p>
            <w:pPr>
              <w:pStyle w:val="4"/>
              <w:numPr>
                <w:ilvl w:val="0"/>
                <w:numId w:val="0"/>
              </w:numPr>
              <w:spacing w:line="240" w:lineRule="auto"/>
              <w:rPr>
                <w:rFonts w:hint="default" w:ascii="Times New Roman" w:hAnsi="Times New Roman" w:eastAsia="宋体" w:cs="Times New Roman"/>
                <w:bCs/>
                <w:spacing w:val="10"/>
                <w:kern w:val="2"/>
                <w:sz w:val="24"/>
                <w:szCs w:val="24"/>
                <w:lang w:val="en-US" w:eastAsia="zh-CN" w:bidi="ar-SA"/>
              </w:rPr>
            </w:pPr>
            <w:r>
              <w:rPr>
                <w:rFonts w:hint="default" w:ascii="Times New Roman" w:hAnsi="Times New Roman" w:eastAsia="宋体" w:cs="Times New Roman"/>
                <w:bCs/>
                <w:spacing w:val="10"/>
                <w:kern w:val="2"/>
                <w:sz w:val="24"/>
                <w:szCs w:val="24"/>
                <w:lang w:val="en-US" w:eastAsia="zh-CN" w:bidi="ar-SA"/>
              </w:rPr>
              <w:t>2</w:t>
            </w:r>
            <w:r>
              <w:rPr>
                <w:rFonts w:hint="eastAsia" w:ascii="Times New Roman" w:hAnsi="Times New Roman" w:eastAsia="宋体" w:cs="Times New Roman"/>
                <w:bCs/>
                <w:spacing w:val="10"/>
                <w:kern w:val="2"/>
                <w:sz w:val="24"/>
                <w:szCs w:val="24"/>
                <w:lang w:val="en-US" w:eastAsia="zh-CN" w:bidi="ar-SA"/>
              </w:rPr>
              <w:t>）</w:t>
            </w:r>
            <w:r>
              <w:rPr>
                <w:rFonts w:hint="default" w:ascii="Times New Roman" w:hAnsi="Times New Roman" w:eastAsia="宋体" w:cs="Times New Roman"/>
                <w:bCs/>
                <w:spacing w:val="10"/>
                <w:kern w:val="2"/>
                <w:sz w:val="24"/>
                <w:szCs w:val="24"/>
                <w:lang w:val="en-US" w:eastAsia="zh-CN" w:bidi="ar-SA"/>
              </w:rPr>
              <w:tab/>
            </w:r>
            <w:r>
              <w:rPr>
                <w:rFonts w:hint="default" w:ascii="Times New Roman" w:hAnsi="Times New Roman" w:eastAsia="宋体" w:cs="Times New Roman"/>
                <w:bCs/>
                <w:spacing w:val="10"/>
                <w:kern w:val="2"/>
                <w:sz w:val="24"/>
                <w:szCs w:val="24"/>
                <w:lang w:val="en-US" w:eastAsia="zh-CN" w:bidi="ar-SA"/>
              </w:rPr>
              <w:t>消防设施配备是否齐全</w:t>
            </w:r>
            <w:r>
              <w:rPr>
                <w:rFonts w:hint="default" w:ascii="Times New Roman" w:hAnsi="Times New Roman" w:eastAsia="宋体" w:cs="Times New Roman"/>
                <w:bCs/>
                <w:spacing w:val="10"/>
                <w:kern w:val="2"/>
                <w:sz w:val="24"/>
                <w:szCs w:val="24"/>
                <w:lang w:val="en-US" w:eastAsia="zh-CN" w:bidi="ar-SA"/>
              </w:rPr>
              <w:tab/>
            </w:r>
            <w:r>
              <w:rPr>
                <w:rFonts w:hint="default" w:ascii="Times New Roman" w:hAnsi="Times New Roman" w:eastAsia="宋体" w:cs="Times New Roman"/>
                <w:bCs/>
                <w:spacing w:val="10"/>
                <w:kern w:val="2"/>
                <w:sz w:val="24"/>
                <w:szCs w:val="24"/>
                <w:lang w:val="en-US" w:eastAsia="zh-CN" w:bidi="ar-SA"/>
              </w:rPr>
              <w:t>√</w:t>
            </w:r>
          </w:p>
          <w:p>
            <w:pPr>
              <w:pStyle w:val="4"/>
              <w:numPr>
                <w:ilvl w:val="0"/>
                <w:numId w:val="0"/>
              </w:numPr>
              <w:spacing w:line="240" w:lineRule="auto"/>
              <w:rPr>
                <w:rFonts w:hint="default" w:ascii="Times New Roman" w:hAnsi="Times New Roman" w:eastAsia="宋体" w:cs="Times New Roman"/>
                <w:bCs/>
                <w:spacing w:val="10"/>
                <w:kern w:val="2"/>
                <w:sz w:val="24"/>
                <w:szCs w:val="24"/>
                <w:lang w:val="en-US" w:eastAsia="zh-CN" w:bidi="ar-SA"/>
              </w:rPr>
            </w:pPr>
            <w:r>
              <w:rPr>
                <w:rFonts w:hint="default" w:ascii="Times New Roman" w:hAnsi="Times New Roman" w:eastAsia="宋体" w:cs="Times New Roman"/>
                <w:bCs/>
                <w:spacing w:val="10"/>
                <w:kern w:val="2"/>
                <w:sz w:val="24"/>
                <w:szCs w:val="24"/>
                <w:lang w:val="en-US" w:eastAsia="zh-CN" w:bidi="ar-SA"/>
              </w:rPr>
              <w:t>3</w:t>
            </w:r>
            <w:r>
              <w:rPr>
                <w:rFonts w:hint="eastAsia" w:ascii="Times New Roman" w:hAnsi="Times New Roman" w:eastAsia="宋体" w:cs="Times New Roman"/>
                <w:bCs/>
                <w:spacing w:val="10"/>
                <w:kern w:val="2"/>
                <w:sz w:val="24"/>
                <w:szCs w:val="24"/>
                <w:lang w:val="en-US" w:eastAsia="zh-CN" w:bidi="ar-SA"/>
              </w:rPr>
              <w:t>）</w:t>
            </w:r>
            <w:r>
              <w:rPr>
                <w:rFonts w:hint="default" w:ascii="Times New Roman" w:hAnsi="Times New Roman" w:eastAsia="宋体" w:cs="Times New Roman"/>
                <w:bCs/>
                <w:spacing w:val="10"/>
                <w:kern w:val="2"/>
                <w:sz w:val="24"/>
                <w:szCs w:val="24"/>
                <w:lang w:val="en-US" w:eastAsia="zh-CN" w:bidi="ar-SA"/>
              </w:rPr>
              <w:tab/>
            </w:r>
            <w:r>
              <w:rPr>
                <w:rFonts w:hint="default" w:ascii="Times New Roman" w:hAnsi="Times New Roman" w:eastAsia="宋体" w:cs="Times New Roman"/>
                <w:bCs/>
                <w:spacing w:val="10"/>
                <w:kern w:val="2"/>
                <w:sz w:val="24"/>
                <w:szCs w:val="24"/>
                <w:lang w:val="en-US" w:eastAsia="zh-CN" w:bidi="ar-SA"/>
              </w:rPr>
              <w:t>消防通道是否畅通</w:t>
            </w:r>
            <w:r>
              <w:rPr>
                <w:rFonts w:hint="default" w:ascii="Times New Roman" w:hAnsi="Times New Roman" w:eastAsia="宋体" w:cs="Times New Roman"/>
                <w:bCs/>
                <w:spacing w:val="10"/>
                <w:kern w:val="2"/>
                <w:sz w:val="24"/>
                <w:szCs w:val="24"/>
                <w:lang w:val="en-US" w:eastAsia="zh-CN" w:bidi="ar-SA"/>
              </w:rPr>
              <w:tab/>
            </w:r>
            <w:r>
              <w:rPr>
                <w:rFonts w:hint="default" w:ascii="Times New Roman" w:hAnsi="Times New Roman" w:eastAsia="宋体" w:cs="Times New Roman"/>
                <w:bCs/>
                <w:spacing w:val="10"/>
                <w:kern w:val="2"/>
                <w:sz w:val="24"/>
                <w:szCs w:val="24"/>
                <w:lang w:val="en-US" w:eastAsia="zh-CN" w:bidi="ar-SA"/>
              </w:rPr>
              <w:t>√</w:t>
            </w:r>
          </w:p>
          <w:p>
            <w:pPr>
              <w:pStyle w:val="4"/>
              <w:numPr>
                <w:ilvl w:val="0"/>
                <w:numId w:val="0"/>
              </w:numPr>
              <w:spacing w:line="240" w:lineRule="auto"/>
              <w:rPr>
                <w:rFonts w:hint="default" w:ascii="Times New Roman" w:hAnsi="Times New Roman" w:eastAsia="宋体" w:cs="Times New Roman"/>
                <w:bCs/>
                <w:spacing w:val="10"/>
                <w:kern w:val="2"/>
                <w:sz w:val="24"/>
                <w:szCs w:val="24"/>
                <w:lang w:val="en-US" w:eastAsia="zh-CN" w:bidi="ar-SA"/>
              </w:rPr>
            </w:pPr>
            <w:r>
              <w:rPr>
                <w:rFonts w:hint="default" w:ascii="Times New Roman" w:hAnsi="Times New Roman" w:eastAsia="宋体" w:cs="Times New Roman"/>
                <w:bCs/>
                <w:spacing w:val="10"/>
                <w:kern w:val="2"/>
                <w:sz w:val="24"/>
                <w:szCs w:val="24"/>
                <w:lang w:val="en-US" w:eastAsia="zh-CN" w:bidi="ar-SA"/>
              </w:rPr>
              <w:t>4</w:t>
            </w:r>
            <w:r>
              <w:rPr>
                <w:rFonts w:hint="eastAsia" w:ascii="Times New Roman" w:hAnsi="Times New Roman" w:eastAsia="宋体" w:cs="Times New Roman"/>
                <w:bCs/>
                <w:spacing w:val="10"/>
                <w:kern w:val="2"/>
                <w:sz w:val="24"/>
                <w:szCs w:val="24"/>
                <w:lang w:val="en-US" w:eastAsia="zh-CN" w:bidi="ar-SA"/>
              </w:rPr>
              <w:t>）</w:t>
            </w:r>
            <w:r>
              <w:rPr>
                <w:rFonts w:hint="default" w:ascii="Times New Roman" w:hAnsi="Times New Roman" w:eastAsia="宋体" w:cs="Times New Roman"/>
                <w:bCs/>
                <w:spacing w:val="10"/>
                <w:kern w:val="2"/>
                <w:sz w:val="24"/>
                <w:szCs w:val="24"/>
                <w:lang w:val="en-US" w:eastAsia="zh-CN" w:bidi="ar-SA"/>
              </w:rPr>
              <w:tab/>
            </w:r>
            <w:r>
              <w:rPr>
                <w:rFonts w:hint="default" w:ascii="Times New Roman" w:hAnsi="Times New Roman" w:eastAsia="宋体" w:cs="Times New Roman"/>
                <w:bCs/>
                <w:spacing w:val="10"/>
                <w:kern w:val="2"/>
                <w:sz w:val="24"/>
                <w:szCs w:val="24"/>
                <w:lang w:val="en-US" w:eastAsia="zh-CN" w:bidi="ar-SA"/>
              </w:rPr>
              <w:t>节约用纸</w:t>
            </w:r>
            <w:r>
              <w:rPr>
                <w:rFonts w:hint="default" w:ascii="Times New Roman" w:hAnsi="Times New Roman" w:eastAsia="宋体" w:cs="Times New Roman"/>
                <w:bCs/>
                <w:spacing w:val="10"/>
                <w:kern w:val="2"/>
                <w:sz w:val="24"/>
                <w:szCs w:val="24"/>
                <w:lang w:val="en-US" w:eastAsia="zh-CN" w:bidi="ar-SA"/>
              </w:rPr>
              <w:tab/>
            </w:r>
            <w:r>
              <w:rPr>
                <w:rFonts w:hint="default" w:ascii="Times New Roman" w:hAnsi="Times New Roman" w:eastAsia="宋体" w:cs="Times New Roman"/>
                <w:bCs/>
                <w:spacing w:val="10"/>
                <w:kern w:val="2"/>
                <w:sz w:val="24"/>
                <w:szCs w:val="24"/>
                <w:lang w:val="en-US" w:eastAsia="zh-CN" w:bidi="ar-SA"/>
              </w:rPr>
              <w:t>√</w:t>
            </w:r>
          </w:p>
          <w:p>
            <w:pPr>
              <w:pStyle w:val="4"/>
              <w:numPr>
                <w:ilvl w:val="0"/>
                <w:numId w:val="0"/>
              </w:numPr>
              <w:spacing w:line="240" w:lineRule="auto"/>
              <w:rPr>
                <w:rFonts w:hint="default" w:ascii="Times New Roman" w:hAnsi="Times New Roman" w:eastAsia="宋体" w:cs="Times New Roman"/>
                <w:bCs/>
                <w:spacing w:val="10"/>
                <w:kern w:val="2"/>
                <w:sz w:val="24"/>
                <w:szCs w:val="24"/>
                <w:lang w:val="en-US" w:eastAsia="zh-CN" w:bidi="ar-SA"/>
              </w:rPr>
            </w:pPr>
            <w:r>
              <w:rPr>
                <w:rFonts w:hint="default" w:ascii="Times New Roman" w:hAnsi="Times New Roman" w:eastAsia="宋体" w:cs="Times New Roman"/>
                <w:bCs/>
                <w:spacing w:val="10"/>
                <w:kern w:val="2"/>
                <w:sz w:val="24"/>
                <w:szCs w:val="24"/>
                <w:lang w:val="en-US" w:eastAsia="zh-CN" w:bidi="ar-SA"/>
              </w:rPr>
              <w:t>5</w:t>
            </w:r>
            <w:r>
              <w:rPr>
                <w:rFonts w:hint="eastAsia" w:ascii="Times New Roman" w:hAnsi="Times New Roman" w:eastAsia="宋体" w:cs="Times New Roman"/>
                <w:bCs/>
                <w:spacing w:val="10"/>
                <w:kern w:val="2"/>
                <w:sz w:val="24"/>
                <w:szCs w:val="24"/>
                <w:lang w:val="en-US" w:eastAsia="zh-CN" w:bidi="ar-SA"/>
              </w:rPr>
              <w:t>）</w:t>
            </w:r>
            <w:r>
              <w:rPr>
                <w:rFonts w:hint="default" w:ascii="Times New Roman" w:hAnsi="Times New Roman" w:eastAsia="宋体" w:cs="Times New Roman"/>
                <w:bCs/>
                <w:spacing w:val="10"/>
                <w:kern w:val="2"/>
                <w:sz w:val="24"/>
                <w:szCs w:val="24"/>
                <w:lang w:val="en-US" w:eastAsia="zh-CN" w:bidi="ar-SA"/>
              </w:rPr>
              <w:tab/>
            </w:r>
            <w:r>
              <w:rPr>
                <w:rFonts w:hint="default" w:ascii="Times New Roman" w:hAnsi="Times New Roman" w:eastAsia="宋体" w:cs="Times New Roman"/>
                <w:bCs/>
                <w:spacing w:val="10"/>
                <w:kern w:val="2"/>
                <w:sz w:val="24"/>
                <w:szCs w:val="24"/>
                <w:lang w:val="en-US" w:eastAsia="zh-CN" w:bidi="ar-SA"/>
              </w:rPr>
              <w:t>废旧电池分类回收保管</w:t>
            </w:r>
            <w:r>
              <w:rPr>
                <w:rFonts w:hint="default" w:ascii="Times New Roman" w:hAnsi="Times New Roman" w:eastAsia="宋体" w:cs="Times New Roman"/>
                <w:bCs/>
                <w:spacing w:val="10"/>
                <w:kern w:val="2"/>
                <w:sz w:val="24"/>
                <w:szCs w:val="24"/>
                <w:lang w:val="en-US" w:eastAsia="zh-CN" w:bidi="ar-SA"/>
              </w:rPr>
              <w:tab/>
            </w:r>
            <w:r>
              <w:rPr>
                <w:rFonts w:hint="default" w:ascii="Times New Roman" w:hAnsi="Times New Roman" w:eastAsia="宋体" w:cs="Times New Roman"/>
                <w:bCs/>
                <w:spacing w:val="10"/>
                <w:kern w:val="2"/>
                <w:sz w:val="24"/>
                <w:szCs w:val="24"/>
                <w:lang w:val="en-US" w:eastAsia="zh-CN" w:bidi="ar-SA"/>
              </w:rPr>
              <w:t>√</w:t>
            </w:r>
          </w:p>
          <w:p>
            <w:pPr>
              <w:pStyle w:val="4"/>
              <w:numPr>
                <w:ilvl w:val="0"/>
                <w:numId w:val="0"/>
              </w:numPr>
              <w:spacing w:line="240" w:lineRule="auto"/>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......等。</w:t>
            </w:r>
          </w:p>
          <w:p>
            <w:pPr>
              <w:pStyle w:val="4"/>
              <w:numPr>
                <w:ilvl w:val="0"/>
                <w:numId w:val="3"/>
              </w:numPr>
              <w:spacing w:line="240" w:lineRule="auto"/>
              <w:ind w:left="0" w:leftChars="0" w:firstLine="0" w:firstLineChars="0"/>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变更管理——本次监审年度内暂无变更。</w:t>
            </w:r>
          </w:p>
          <w:p>
            <w:pPr>
              <w:pStyle w:val="4"/>
              <w:numPr>
                <w:ilvl w:val="0"/>
                <w:numId w:val="0"/>
              </w:numPr>
              <w:spacing w:line="240" w:lineRule="auto"/>
              <w:ind w:leftChars="0"/>
              <w:rPr>
                <w:rFonts w:hint="default"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问题点：未提供EHS告知书，已与负责人口头沟通，应尽量策划、实施、保持、保留对相关方施加影响的书面证据。</w:t>
            </w:r>
          </w:p>
          <w:p>
            <w:pPr>
              <w:pStyle w:val="4"/>
              <w:numPr>
                <w:ilvl w:val="0"/>
                <w:numId w:val="0"/>
              </w:numPr>
              <w:spacing w:line="240" w:lineRule="auto"/>
              <w:rPr>
                <w:rFonts w:hint="default"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——ES运行控制基本符合</w:t>
            </w:r>
          </w:p>
          <w:p>
            <w:pPr>
              <w:pStyle w:val="4"/>
              <w:spacing w:line="240" w:lineRule="auto"/>
              <w:rPr>
                <w:rFonts w:hint="default" w:ascii="黑体" w:hAnsi="新宋体" w:eastAsia="黑体"/>
                <w:color w:val="000000"/>
                <w:sz w:val="24"/>
                <w:szCs w:val="24"/>
                <w:lang w:val="en-US" w:eastAsia="zh-CN"/>
              </w:rPr>
            </w:pP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cs="Arial" w:asciiTheme="minorEastAsia" w:hAnsiTheme="minorEastAsia" w:eastAsiaTheme="minorEastAsia"/>
                <w:color w:val="000000" w:themeColor="text1"/>
                <w:sz w:val="24"/>
                <w:szCs w:val="24"/>
              </w:rPr>
            </w:pPr>
            <w:r>
              <w:rPr>
                <w:rFonts w:hint="eastAsia"/>
                <w:lang w:val="en-US" w:eastAsia="zh-CN"/>
              </w:rPr>
              <w:t>应急准备和响应</w:t>
            </w:r>
          </w:p>
        </w:tc>
        <w:tc>
          <w:tcPr>
            <w:tcW w:w="960" w:type="dxa"/>
          </w:tcPr>
          <w:p>
            <w:pPr>
              <w:spacing w:line="240" w:lineRule="auto"/>
              <w:rPr>
                <w:rFonts w:hint="default"/>
                <w:sz w:val="24"/>
                <w:szCs w:val="24"/>
                <w:lang w:val="en-US" w:eastAsia="zh-CN"/>
              </w:rPr>
            </w:pPr>
            <w:r>
              <w:rPr>
                <w:rFonts w:hint="eastAsia"/>
                <w:sz w:val="24"/>
                <w:szCs w:val="24"/>
                <w:lang w:val="en-US" w:eastAsia="zh-CN"/>
              </w:rPr>
              <w:t>ES8.2</w:t>
            </w:r>
          </w:p>
        </w:tc>
        <w:tc>
          <w:tcPr>
            <w:tcW w:w="10004" w:type="dxa"/>
          </w:tcPr>
          <w:p>
            <w:pPr>
              <w:pStyle w:val="4"/>
              <w:spacing w:line="240" w:lineRule="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---策划有《应急准备和响应管理程序》，《应急预案》；预案包括火灾、触电、疫情防控等。</w:t>
            </w:r>
          </w:p>
          <w:p>
            <w:pPr>
              <w:pStyle w:val="4"/>
              <w:spacing w:line="240" w:lineRule="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查应急准备和响应的情况：公司统一进行，2022-03-20进行消防演练，有演练计划和记录，效果评价为有效。</w:t>
            </w:r>
          </w:p>
          <w:p>
            <w:pPr>
              <w:pStyle w:val="4"/>
              <w:spacing w:line="240" w:lineRule="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问题点：《应急预案》未在当地应急管理局备案，已和负责人沟通。</w:t>
            </w:r>
          </w:p>
          <w:p>
            <w:pPr>
              <w:pStyle w:val="4"/>
              <w:spacing w:line="240" w:lineRule="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——基本符合</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cs="Arial" w:asciiTheme="minorEastAsia" w:hAnsiTheme="minorEastAsia" w:eastAsiaTheme="minorEastAsia"/>
                <w:color w:val="000000" w:themeColor="text1"/>
                <w:sz w:val="24"/>
                <w:szCs w:val="24"/>
                <w:lang w:val="en-US" w:eastAsia="zh-CN"/>
              </w:rPr>
            </w:pPr>
            <w:r>
              <w:rPr>
                <w:rFonts w:hint="eastAsia" w:cs="Arial" w:asciiTheme="minorEastAsia" w:hAnsiTheme="minorEastAsia" w:eastAsiaTheme="minorEastAsia"/>
                <w:color w:val="000000" w:themeColor="text1"/>
                <w:sz w:val="24"/>
                <w:szCs w:val="24"/>
                <w:lang w:val="en-US" w:eastAsia="zh-CN"/>
              </w:rPr>
              <w:t>合规义务</w:t>
            </w:r>
          </w:p>
        </w:tc>
        <w:tc>
          <w:tcPr>
            <w:tcW w:w="960" w:type="dxa"/>
          </w:tcPr>
          <w:p>
            <w:pPr>
              <w:spacing w:line="240" w:lineRule="auto"/>
              <w:rPr>
                <w:rFonts w:hint="default"/>
                <w:sz w:val="24"/>
                <w:szCs w:val="24"/>
                <w:lang w:val="en-US" w:eastAsia="zh-CN"/>
              </w:rPr>
            </w:pPr>
            <w:r>
              <w:rPr>
                <w:rFonts w:hint="eastAsia"/>
                <w:sz w:val="24"/>
                <w:szCs w:val="24"/>
                <w:lang w:val="en-US" w:eastAsia="zh-CN"/>
              </w:rPr>
              <w:t>ES6.1.3</w:t>
            </w:r>
          </w:p>
        </w:tc>
        <w:tc>
          <w:tcPr>
            <w:tcW w:w="10004" w:type="dxa"/>
          </w:tcPr>
          <w:p>
            <w:pPr>
              <w:pStyle w:val="4"/>
              <w:spacing w:line="240" w:lineRule="auto"/>
              <w:rPr>
                <w:rFonts w:hint="eastAsia"/>
                <w:sz w:val="24"/>
                <w:szCs w:val="24"/>
                <w:lang w:val="en-US" w:eastAsia="zh-CN"/>
              </w:rPr>
            </w:pPr>
            <w:r>
              <w:rPr>
                <w:rFonts w:hint="eastAsia" w:ascii="Times New Roman" w:hAnsi="Times New Roman" w:eastAsia="宋体" w:cs="Times New Roman"/>
                <w:sz w:val="24"/>
                <w:szCs w:val="24"/>
                <w:vertAlign w:val="baseline"/>
                <w:lang w:val="en-US" w:eastAsia="zh-CN"/>
              </w:rPr>
              <w:t>---策划有手册</w:t>
            </w:r>
            <w:r>
              <w:rPr>
                <w:rFonts w:hint="eastAsia"/>
                <w:sz w:val="24"/>
                <w:szCs w:val="24"/>
                <w:lang w:val="en-US" w:eastAsia="zh-CN"/>
              </w:rPr>
              <w:t>第6.1.3条款、《</w:t>
            </w:r>
            <w:bookmarkStart w:id="2" w:name="OLE_LINK4"/>
            <w:r>
              <w:rPr>
                <w:rFonts w:hint="eastAsia"/>
                <w:color w:val="000000"/>
                <w:sz w:val="24"/>
                <w:szCs w:val="24"/>
                <w:lang w:val="en-US" w:eastAsia="zh-CN"/>
              </w:rPr>
              <w:t>文件控制/法律法规及其它要求控制程序</w:t>
            </w:r>
            <w:bookmarkEnd w:id="2"/>
            <w:r>
              <w:rPr>
                <w:rFonts w:hint="eastAsia"/>
                <w:sz w:val="24"/>
                <w:szCs w:val="24"/>
                <w:lang w:val="en-US" w:eastAsia="zh-CN"/>
              </w:rPr>
              <w:t>》。</w:t>
            </w:r>
          </w:p>
          <w:p>
            <w:pPr>
              <w:pStyle w:val="4"/>
              <w:spacing w:line="240" w:lineRule="auto"/>
              <w:rPr>
                <w:rFonts w:hint="eastAsia"/>
                <w:sz w:val="24"/>
                <w:szCs w:val="24"/>
                <w:vertAlign w:val="baseline"/>
                <w:lang w:val="en-US" w:eastAsia="zh-CN"/>
              </w:rPr>
            </w:pPr>
            <w:r>
              <w:rPr>
                <w:rFonts w:hint="eastAsia"/>
                <w:sz w:val="24"/>
                <w:szCs w:val="24"/>
                <w:lang w:val="en-US" w:eastAsia="zh-CN"/>
              </w:rPr>
              <w:t>---通过专业网站、主管机构，</w:t>
            </w:r>
            <w:r>
              <w:rPr>
                <w:rFonts w:hint="eastAsia"/>
                <w:sz w:val="24"/>
                <w:szCs w:val="24"/>
                <w:vertAlign w:val="baseline"/>
                <w:lang w:val="en-US" w:eastAsia="zh-CN"/>
              </w:rPr>
              <w:t>收集法律法规和其他要求。</w:t>
            </w:r>
          </w:p>
          <w:p>
            <w:pPr>
              <w:pStyle w:val="4"/>
              <w:spacing w:line="240" w:lineRule="auto"/>
              <w:rPr>
                <w:rFonts w:hint="default"/>
                <w:sz w:val="24"/>
                <w:szCs w:val="24"/>
                <w:vertAlign w:val="baseline"/>
                <w:lang w:val="en-US" w:eastAsia="zh-CN"/>
              </w:rPr>
            </w:pPr>
            <w:r>
              <w:rPr>
                <w:rFonts w:hint="eastAsia"/>
                <w:sz w:val="24"/>
                <w:szCs w:val="24"/>
                <w:vertAlign w:val="baseline"/>
                <w:lang w:val="en-US" w:eastAsia="zh-CN"/>
              </w:rPr>
              <w:t>查：“安全管理适用法律、法规及其他要求一览表”，最后更新时间2022.1.5.，编审批齐全，收集相关法规共62条，抽查如下：</w:t>
            </w:r>
          </w:p>
          <w:tbl>
            <w:tblPr>
              <w:tblStyle w:val="8"/>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2001"/>
              <w:gridCol w:w="1125"/>
              <w:gridCol w:w="1200"/>
              <w:gridCol w:w="28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75" w:type="dxa"/>
                  <w:noWrap w:val="0"/>
                  <w:vAlign w:val="top"/>
                </w:tcPr>
                <w:p>
                  <w:pPr>
                    <w:numPr>
                      <w:ilvl w:val="0"/>
                      <w:numId w:val="4"/>
                    </w:numPr>
                    <w:spacing w:line="240" w:lineRule="auto"/>
                    <w:jc w:val="center"/>
                    <w:rPr>
                      <w:rFonts w:hint="eastAsia" w:eastAsia="黑体"/>
                      <w:color w:val="000000"/>
                      <w:sz w:val="24"/>
                      <w:szCs w:val="24"/>
                    </w:rPr>
                  </w:pPr>
                </w:p>
              </w:tc>
              <w:tc>
                <w:tcPr>
                  <w:tcW w:w="2001" w:type="dxa"/>
                  <w:noWrap w:val="0"/>
                  <w:vAlign w:val="center"/>
                </w:tcPr>
                <w:p>
                  <w:pPr>
                    <w:rPr>
                      <w:rFonts w:hint="eastAsia" w:ascii="宋体" w:hAnsi="宋体"/>
                      <w:color w:val="000000"/>
                      <w:sz w:val="24"/>
                      <w:szCs w:val="24"/>
                    </w:rPr>
                  </w:pPr>
                  <w:r>
                    <w:rPr>
                      <w:rFonts w:hint="eastAsia"/>
                      <w:color w:val="000000"/>
                      <w:lang w:eastAsia="zh-CN"/>
                    </w:rPr>
                    <w:t>河北省</w:t>
                  </w:r>
                  <w:r>
                    <w:rPr>
                      <w:rFonts w:hint="eastAsia"/>
                      <w:color w:val="000000"/>
                    </w:rPr>
                    <w:t>消防条例</w:t>
                  </w:r>
                </w:p>
              </w:tc>
              <w:tc>
                <w:tcPr>
                  <w:tcW w:w="1125" w:type="dxa"/>
                  <w:noWrap w:val="0"/>
                  <w:vAlign w:val="center"/>
                </w:tcPr>
                <w:p>
                  <w:pPr>
                    <w:jc w:val="center"/>
                    <w:rPr>
                      <w:rFonts w:hint="eastAsia"/>
                      <w:color w:val="000000"/>
                      <w:sz w:val="24"/>
                      <w:szCs w:val="24"/>
                    </w:rPr>
                  </w:pPr>
                  <w:r>
                    <w:rPr>
                      <w:rFonts w:hint="eastAsia"/>
                      <w:color w:val="000000"/>
                    </w:rPr>
                    <w:t>2016.5.27</w:t>
                  </w:r>
                </w:p>
              </w:tc>
              <w:tc>
                <w:tcPr>
                  <w:tcW w:w="1200" w:type="dxa"/>
                  <w:noWrap w:val="0"/>
                  <w:vAlign w:val="center"/>
                </w:tcPr>
                <w:p>
                  <w:pPr>
                    <w:jc w:val="center"/>
                    <w:rPr>
                      <w:rFonts w:hint="eastAsia"/>
                      <w:color w:val="000000"/>
                      <w:sz w:val="24"/>
                      <w:szCs w:val="24"/>
                    </w:rPr>
                  </w:pPr>
                  <w:r>
                    <w:rPr>
                      <w:rFonts w:hint="eastAsia"/>
                      <w:color w:val="000000"/>
                    </w:rPr>
                    <w:t>2016.7.1</w:t>
                  </w:r>
                </w:p>
              </w:tc>
              <w:tc>
                <w:tcPr>
                  <w:tcW w:w="2801" w:type="dxa"/>
                  <w:noWrap w:val="0"/>
                  <w:vAlign w:val="center"/>
                </w:tcPr>
                <w:p>
                  <w:pPr>
                    <w:jc w:val="center"/>
                    <w:rPr>
                      <w:rFonts w:hint="eastAsia" w:ascii="宋体" w:hAnsi="宋体"/>
                      <w:color w:val="000000"/>
                      <w:sz w:val="24"/>
                      <w:szCs w:val="24"/>
                    </w:rPr>
                  </w:pPr>
                  <w:r>
                    <w:rPr>
                      <w:rFonts w:hint="eastAsia"/>
                      <w:color w:val="000000"/>
                    </w:rPr>
                    <w:t>第5、6、14条</w:t>
                  </w:r>
                </w:p>
              </w:tc>
              <w:tc>
                <w:tcPr>
                  <w:tcW w:w="1775" w:type="dxa"/>
                  <w:noWrap w:val="0"/>
                  <w:vAlign w:val="center"/>
                </w:tcPr>
                <w:p>
                  <w:pPr>
                    <w:jc w:val="center"/>
                    <w:rPr>
                      <w:rFonts w:hint="eastAsia" w:ascii="宋体" w:hAnsi="宋体"/>
                      <w:color w:val="000000"/>
                      <w:sz w:val="24"/>
                      <w:szCs w:val="24"/>
                    </w:rPr>
                  </w:pPr>
                  <w:r>
                    <w:rPr>
                      <w:rFonts w:hint="eastAsia"/>
                      <w:color w:val="000000"/>
                    </w:rPr>
                    <w:t>所有活动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75" w:type="dxa"/>
                  <w:noWrap w:val="0"/>
                  <w:vAlign w:val="top"/>
                </w:tcPr>
                <w:p>
                  <w:pPr>
                    <w:numPr>
                      <w:ilvl w:val="0"/>
                      <w:numId w:val="4"/>
                    </w:numPr>
                    <w:spacing w:line="240" w:lineRule="auto"/>
                    <w:jc w:val="center"/>
                    <w:rPr>
                      <w:rFonts w:hint="eastAsia" w:eastAsia="黑体"/>
                      <w:color w:val="000000"/>
                      <w:sz w:val="24"/>
                      <w:szCs w:val="24"/>
                    </w:rPr>
                  </w:pPr>
                </w:p>
              </w:tc>
              <w:tc>
                <w:tcPr>
                  <w:tcW w:w="2001" w:type="dxa"/>
                  <w:noWrap w:val="0"/>
                  <w:vAlign w:val="center"/>
                </w:tcPr>
                <w:p>
                  <w:pPr>
                    <w:spacing w:line="240" w:lineRule="auto"/>
                    <w:rPr>
                      <w:rFonts w:hint="eastAsia" w:ascii="宋体" w:hAnsi="宋体"/>
                      <w:color w:val="000000"/>
                      <w:sz w:val="24"/>
                      <w:szCs w:val="24"/>
                    </w:rPr>
                  </w:pPr>
                  <w:r>
                    <w:rPr>
                      <w:rFonts w:hint="eastAsia" w:ascii="宋体" w:hAnsi="宋体"/>
                      <w:color w:val="000000"/>
                      <w:sz w:val="24"/>
                      <w:szCs w:val="24"/>
                    </w:rPr>
                    <w:t>国家职业卫生标准管理办法</w:t>
                  </w:r>
                </w:p>
              </w:tc>
              <w:tc>
                <w:tcPr>
                  <w:tcW w:w="1125" w:type="dxa"/>
                  <w:noWrap w:val="0"/>
                  <w:vAlign w:val="center"/>
                </w:tcPr>
                <w:p>
                  <w:pPr>
                    <w:spacing w:line="240" w:lineRule="auto"/>
                    <w:jc w:val="center"/>
                    <w:rPr>
                      <w:rFonts w:hint="eastAsia"/>
                      <w:color w:val="000000"/>
                      <w:sz w:val="24"/>
                      <w:szCs w:val="24"/>
                    </w:rPr>
                  </w:pPr>
                  <w:r>
                    <w:rPr>
                      <w:rFonts w:hint="eastAsia"/>
                      <w:color w:val="000000"/>
                      <w:sz w:val="24"/>
                      <w:szCs w:val="24"/>
                    </w:rPr>
                    <w:t>2002.3.28</w:t>
                  </w:r>
                </w:p>
              </w:tc>
              <w:tc>
                <w:tcPr>
                  <w:tcW w:w="1200" w:type="dxa"/>
                  <w:noWrap w:val="0"/>
                  <w:vAlign w:val="center"/>
                </w:tcPr>
                <w:p>
                  <w:pPr>
                    <w:spacing w:line="240" w:lineRule="auto"/>
                    <w:jc w:val="center"/>
                    <w:rPr>
                      <w:rFonts w:hint="eastAsia"/>
                      <w:color w:val="000000"/>
                      <w:sz w:val="24"/>
                      <w:szCs w:val="24"/>
                    </w:rPr>
                  </w:pPr>
                  <w:r>
                    <w:rPr>
                      <w:rFonts w:hint="eastAsia"/>
                      <w:color w:val="000000"/>
                      <w:sz w:val="24"/>
                      <w:szCs w:val="24"/>
                    </w:rPr>
                    <w:t>2002.5.1</w:t>
                  </w:r>
                </w:p>
              </w:tc>
              <w:tc>
                <w:tcPr>
                  <w:tcW w:w="2801" w:type="dxa"/>
                  <w:noWrap w:val="0"/>
                  <w:vAlign w:val="center"/>
                </w:tcPr>
                <w:p>
                  <w:pPr>
                    <w:spacing w:line="240" w:lineRule="auto"/>
                    <w:jc w:val="center"/>
                    <w:rPr>
                      <w:rFonts w:hint="eastAsia" w:ascii="宋体" w:hAnsi="宋体"/>
                      <w:color w:val="000000"/>
                      <w:sz w:val="24"/>
                      <w:szCs w:val="24"/>
                    </w:rPr>
                  </w:pPr>
                  <w:r>
                    <w:rPr>
                      <w:rFonts w:hint="eastAsia" w:ascii="宋体" w:hAnsi="宋体"/>
                      <w:color w:val="000000"/>
                      <w:sz w:val="24"/>
                      <w:szCs w:val="24"/>
                    </w:rPr>
                    <w:t>第2-3条、第5-8条、第10-15条</w:t>
                  </w:r>
                </w:p>
              </w:tc>
              <w:tc>
                <w:tcPr>
                  <w:tcW w:w="1775" w:type="dxa"/>
                  <w:noWrap w:val="0"/>
                  <w:vAlign w:val="center"/>
                </w:tcPr>
                <w:p>
                  <w:pPr>
                    <w:spacing w:line="240" w:lineRule="auto"/>
                    <w:jc w:val="center"/>
                    <w:rPr>
                      <w:rFonts w:hint="eastAsia" w:ascii="宋体" w:hAnsi="宋体"/>
                      <w:color w:val="000000"/>
                      <w:sz w:val="24"/>
                      <w:szCs w:val="24"/>
                    </w:rPr>
                  </w:pPr>
                  <w:r>
                    <w:rPr>
                      <w:rFonts w:hint="eastAsia" w:ascii="宋体" w:hAnsi="宋体"/>
                      <w:color w:val="000000"/>
                      <w:sz w:val="24"/>
                      <w:szCs w:val="24"/>
                    </w:rPr>
                    <w:t>严格按国家卫生标准进行管理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75" w:type="dxa"/>
                  <w:noWrap w:val="0"/>
                  <w:vAlign w:val="top"/>
                </w:tcPr>
                <w:p>
                  <w:pPr>
                    <w:numPr>
                      <w:ilvl w:val="0"/>
                      <w:numId w:val="4"/>
                    </w:numPr>
                    <w:spacing w:line="240" w:lineRule="auto"/>
                    <w:jc w:val="center"/>
                    <w:rPr>
                      <w:rFonts w:hint="eastAsia" w:eastAsia="黑体"/>
                      <w:color w:val="000000"/>
                      <w:sz w:val="24"/>
                      <w:szCs w:val="24"/>
                    </w:rPr>
                  </w:pPr>
                </w:p>
              </w:tc>
              <w:tc>
                <w:tcPr>
                  <w:tcW w:w="2001" w:type="dxa"/>
                  <w:noWrap w:val="0"/>
                  <w:vAlign w:val="center"/>
                </w:tcPr>
                <w:p>
                  <w:pPr>
                    <w:rPr>
                      <w:rFonts w:hint="eastAsia" w:ascii="宋体" w:hAnsi="宋体"/>
                      <w:color w:val="000000"/>
                      <w:sz w:val="24"/>
                      <w:szCs w:val="24"/>
                    </w:rPr>
                  </w:pPr>
                  <w:r>
                    <w:rPr>
                      <w:rFonts w:hint="eastAsia"/>
                      <w:color w:val="000000"/>
                    </w:rPr>
                    <w:t>企业劳动争议协商调解规定</w:t>
                  </w:r>
                </w:p>
              </w:tc>
              <w:tc>
                <w:tcPr>
                  <w:tcW w:w="1125" w:type="dxa"/>
                  <w:noWrap w:val="0"/>
                  <w:vAlign w:val="center"/>
                </w:tcPr>
                <w:p>
                  <w:pPr>
                    <w:jc w:val="center"/>
                    <w:rPr>
                      <w:rFonts w:hint="eastAsia"/>
                      <w:color w:val="000000"/>
                      <w:sz w:val="24"/>
                      <w:szCs w:val="24"/>
                    </w:rPr>
                  </w:pPr>
                  <w:r>
                    <w:rPr>
                      <w:rFonts w:hint="eastAsia"/>
                      <w:color w:val="000000"/>
                    </w:rPr>
                    <w:t>2011.11.30</w:t>
                  </w:r>
                </w:p>
              </w:tc>
              <w:tc>
                <w:tcPr>
                  <w:tcW w:w="1200" w:type="dxa"/>
                  <w:noWrap w:val="0"/>
                  <w:vAlign w:val="center"/>
                </w:tcPr>
                <w:p>
                  <w:pPr>
                    <w:jc w:val="center"/>
                    <w:rPr>
                      <w:rFonts w:hint="eastAsia"/>
                      <w:color w:val="000000"/>
                      <w:sz w:val="24"/>
                      <w:szCs w:val="24"/>
                    </w:rPr>
                  </w:pPr>
                  <w:r>
                    <w:rPr>
                      <w:rFonts w:hint="eastAsia"/>
                      <w:color w:val="000000"/>
                    </w:rPr>
                    <w:t>2012.1.1</w:t>
                  </w:r>
                </w:p>
              </w:tc>
              <w:tc>
                <w:tcPr>
                  <w:tcW w:w="2801" w:type="dxa"/>
                  <w:noWrap w:val="0"/>
                  <w:vAlign w:val="center"/>
                </w:tcPr>
                <w:p>
                  <w:pPr>
                    <w:jc w:val="center"/>
                    <w:rPr>
                      <w:rFonts w:hint="eastAsia" w:ascii="宋体" w:hAnsi="宋体"/>
                      <w:color w:val="000000"/>
                      <w:sz w:val="24"/>
                      <w:szCs w:val="24"/>
                    </w:rPr>
                  </w:pPr>
                  <w:r>
                    <w:rPr>
                      <w:rFonts w:hint="eastAsia"/>
                      <w:color w:val="000000"/>
                    </w:rPr>
                    <w:t>全文</w:t>
                  </w:r>
                </w:p>
              </w:tc>
              <w:tc>
                <w:tcPr>
                  <w:tcW w:w="1775" w:type="dxa"/>
                  <w:noWrap w:val="0"/>
                  <w:vAlign w:val="center"/>
                </w:tcPr>
                <w:p>
                  <w:pPr>
                    <w:jc w:val="center"/>
                    <w:rPr>
                      <w:rFonts w:hint="eastAsia" w:ascii="宋体" w:hAnsi="宋体"/>
                      <w:color w:val="000000"/>
                      <w:sz w:val="24"/>
                      <w:szCs w:val="24"/>
                    </w:rPr>
                  </w:pPr>
                  <w:r>
                    <w:rPr>
                      <w:rFonts w:hint="eastAsia"/>
                      <w:color w:val="000000"/>
                    </w:rPr>
                    <w:t>企业劳动争议协商调解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475" w:type="dxa"/>
                  <w:noWrap w:val="0"/>
                  <w:vAlign w:val="top"/>
                </w:tcPr>
                <w:p>
                  <w:pPr>
                    <w:numPr>
                      <w:ilvl w:val="0"/>
                      <w:numId w:val="4"/>
                    </w:numPr>
                    <w:spacing w:line="240" w:lineRule="auto"/>
                    <w:jc w:val="center"/>
                    <w:rPr>
                      <w:rFonts w:hint="eastAsia" w:eastAsia="黑体"/>
                      <w:color w:val="000000"/>
                      <w:sz w:val="24"/>
                      <w:szCs w:val="24"/>
                    </w:rPr>
                  </w:pPr>
                </w:p>
              </w:tc>
              <w:tc>
                <w:tcPr>
                  <w:tcW w:w="2001" w:type="dxa"/>
                  <w:noWrap w:val="0"/>
                  <w:vAlign w:val="center"/>
                </w:tcPr>
                <w:p>
                  <w:pPr>
                    <w:spacing w:line="240" w:lineRule="auto"/>
                    <w:rPr>
                      <w:rFonts w:hint="eastAsia" w:ascii="宋体" w:hAnsi="宋体"/>
                      <w:color w:val="000000"/>
                      <w:sz w:val="24"/>
                      <w:szCs w:val="24"/>
                    </w:rPr>
                  </w:pPr>
                  <w:r>
                    <w:rPr>
                      <w:rFonts w:hint="eastAsia" w:ascii="宋体" w:hAnsi="宋体"/>
                      <w:color w:val="000000"/>
                      <w:sz w:val="24"/>
                      <w:szCs w:val="24"/>
                    </w:rPr>
                    <w:t>仓库防火安全管理规则</w:t>
                  </w:r>
                </w:p>
              </w:tc>
              <w:tc>
                <w:tcPr>
                  <w:tcW w:w="1125" w:type="dxa"/>
                  <w:noWrap w:val="0"/>
                  <w:vAlign w:val="center"/>
                </w:tcPr>
                <w:p>
                  <w:pPr>
                    <w:spacing w:line="240" w:lineRule="auto"/>
                    <w:jc w:val="center"/>
                    <w:rPr>
                      <w:rFonts w:hint="eastAsia"/>
                      <w:color w:val="000000"/>
                      <w:sz w:val="24"/>
                      <w:szCs w:val="24"/>
                    </w:rPr>
                  </w:pPr>
                  <w:r>
                    <w:rPr>
                      <w:rFonts w:hint="eastAsia"/>
                      <w:color w:val="000000"/>
                      <w:sz w:val="24"/>
                      <w:szCs w:val="24"/>
                    </w:rPr>
                    <w:t>1990.4.10</w:t>
                  </w:r>
                </w:p>
              </w:tc>
              <w:tc>
                <w:tcPr>
                  <w:tcW w:w="1200" w:type="dxa"/>
                  <w:noWrap w:val="0"/>
                  <w:vAlign w:val="center"/>
                </w:tcPr>
                <w:p>
                  <w:pPr>
                    <w:spacing w:line="240" w:lineRule="auto"/>
                    <w:jc w:val="center"/>
                    <w:rPr>
                      <w:rFonts w:hint="eastAsia"/>
                      <w:color w:val="000000"/>
                      <w:sz w:val="24"/>
                      <w:szCs w:val="24"/>
                    </w:rPr>
                  </w:pPr>
                  <w:r>
                    <w:rPr>
                      <w:rFonts w:hint="eastAsia"/>
                      <w:color w:val="000000"/>
                      <w:sz w:val="24"/>
                      <w:szCs w:val="24"/>
                    </w:rPr>
                    <w:t>1990.4.10</w:t>
                  </w:r>
                </w:p>
              </w:tc>
              <w:tc>
                <w:tcPr>
                  <w:tcW w:w="2801" w:type="dxa"/>
                  <w:noWrap w:val="0"/>
                  <w:vAlign w:val="center"/>
                </w:tcPr>
                <w:p>
                  <w:pPr>
                    <w:spacing w:line="240" w:lineRule="auto"/>
                    <w:jc w:val="center"/>
                    <w:rPr>
                      <w:rFonts w:hint="eastAsia" w:ascii="宋体" w:hAnsi="宋体"/>
                      <w:color w:val="000000"/>
                      <w:sz w:val="24"/>
                      <w:szCs w:val="24"/>
                    </w:rPr>
                  </w:pPr>
                  <w:r>
                    <w:rPr>
                      <w:rFonts w:hint="eastAsia" w:ascii="宋体" w:hAnsi="宋体"/>
                      <w:color w:val="000000"/>
                      <w:sz w:val="24"/>
                      <w:szCs w:val="24"/>
                    </w:rPr>
                    <w:t>第6-59条</w:t>
                  </w:r>
                </w:p>
              </w:tc>
              <w:tc>
                <w:tcPr>
                  <w:tcW w:w="1775" w:type="dxa"/>
                  <w:noWrap w:val="0"/>
                  <w:vAlign w:val="center"/>
                </w:tcPr>
                <w:p>
                  <w:pPr>
                    <w:spacing w:line="240" w:lineRule="auto"/>
                    <w:jc w:val="center"/>
                    <w:rPr>
                      <w:rFonts w:hint="eastAsia" w:ascii="宋体" w:hAnsi="宋体"/>
                      <w:color w:val="000000"/>
                      <w:sz w:val="24"/>
                      <w:szCs w:val="24"/>
                    </w:rPr>
                  </w:pPr>
                  <w:r>
                    <w:rPr>
                      <w:rFonts w:hint="eastAsia" w:ascii="宋体" w:hAnsi="宋体"/>
                      <w:color w:val="000000"/>
                      <w:sz w:val="24"/>
                      <w:szCs w:val="24"/>
                    </w:rPr>
                    <w:t>材料的堆放和管理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75" w:type="dxa"/>
                  <w:noWrap w:val="0"/>
                  <w:vAlign w:val="top"/>
                </w:tcPr>
                <w:p>
                  <w:pPr>
                    <w:numPr>
                      <w:ilvl w:val="0"/>
                      <w:numId w:val="4"/>
                    </w:numPr>
                    <w:spacing w:line="240" w:lineRule="auto"/>
                    <w:jc w:val="center"/>
                    <w:rPr>
                      <w:rFonts w:hint="eastAsia" w:eastAsia="黑体"/>
                      <w:color w:val="000000"/>
                      <w:sz w:val="24"/>
                      <w:szCs w:val="24"/>
                    </w:rPr>
                  </w:pPr>
                </w:p>
              </w:tc>
              <w:tc>
                <w:tcPr>
                  <w:tcW w:w="2001" w:type="dxa"/>
                  <w:noWrap w:val="0"/>
                  <w:vAlign w:val="center"/>
                </w:tcPr>
                <w:p>
                  <w:pPr>
                    <w:spacing w:line="240" w:lineRule="auto"/>
                    <w:jc w:val="left"/>
                    <w:rPr>
                      <w:rFonts w:hint="eastAsia" w:ascii="宋体" w:hAnsi="宋体"/>
                      <w:color w:val="000000"/>
                      <w:sz w:val="24"/>
                      <w:szCs w:val="24"/>
                    </w:rPr>
                  </w:pPr>
                  <w:r>
                    <w:rPr>
                      <w:rFonts w:hint="eastAsia" w:ascii="宋体" w:hAnsi="宋体"/>
                      <w:color w:val="000000"/>
                      <w:sz w:val="24"/>
                      <w:szCs w:val="24"/>
                      <w:lang w:eastAsia="zh-CN"/>
                    </w:rPr>
                    <w:t>河北省</w:t>
                  </w:r>
                  <w:r>
                    <w:rPr>
                      <w:rFonts w:hint="eastAsia" w:ascii="宋体" w:hAnsi="宋体"/>
                      <w:color w:val="000000"/>
                      <w:sz w:val="24"/>
                      <w:szCs w:val="24"/>
                    </w:rPr>
                    <w:t>劳动保护条例</w:t>
                  </w:r>
                </w:p>
              </w:tc>
              <w:tc>
                <w:tcPr>
                  <w:tcW w:w="1125" w:type="dxa"/>
                  <w:noWrap w:val="0"/>
                  <w:vAlign w:val="center"/>
                </w:tcPr>
                <w:p>
                  <w:pPr>
                    <w:spacing w:line="240" w:lineRule="auto"/>
                    <w:jc w:val="center"/>
                    <w:rPr>
                      <w:rFonts w:hint="eastAsia"/>
                      <w:color w:val="000000"/>
                      <w:sz w:val="24"/>
                      <w:szCs w:val="24"/>
                    </w:rPr>
                  </w:pPr>
                  <w:r>
                    <w:rPr>
                      <w:rFonts w:hint="eastAsia"/>
                      <w:color w:val="000000"/>
                      <w:sz w:val="24"/>
                      <w:szCs w:val="24"/>
                    </w:rPr>
                    <w:t>1997.6.28</w:t>
                  </w:r>
                </w:p>
              </w:tc>
              <w:tc>
                <w:tcPr>
                  <w:tcW w:w="1200" w:type="dxa"/>
                  <w:noWrap w:val="0"/>
                  <w:vAlign w:val="center"/>
                </w:tcPr>
                <w:p>
                  <w:pPr>
                    <w:spacing w:line="240" w:lineRule="auto"/>
                    <w:jc w:val="center"/>
                    <w:rPr>
                      <w:rFonts w:hint="eastAsia"/>
                      <w:color w:val="000000"/>
                      <w:sz w:val="24"/>
                      <w:szCs w:val="24"/>
                    </w:rPr>
                  </w:pPr>
                  <w:r>
                    <w:rPr>
                      <w:rFonts w:hint="eastAsia"/>
                      <w:color w:val="000000"/>
                      <w:sz w:val="24"/>
                      <w:szCs w:val="24"/>
                    </w:rPr>
                    <w:t>1997.6.28</w:t>
                  </w:r>
                </w:p>
              </w:tc>
              <w:tc>
                <w:tcPr>
                  <w:tcW w:w="2801" w:type="dxa"/>
                  <w:noWrap w:val="0"/>
                  <w:vAlign w:val="center"/>
                </w:tcPr>
                <w:p>
                  <w:pPr>
                    <w:spacing w:line="240" w:lineRule="auto"/>
                    <w:jc w:val="center"/>
                    <w:rPr>
                      <w:rFonts w:hint="eastAsia" w:ascii="宋体" w:hAnsi="宋体"/>
                      <w:color w:val="000000"/>
                      <w:sz w:val="24"/>
                      <w:szCs w:val="24"/>
                    </w:rPr>
                  </w:pPr>
                  <w:r>
                    <w:rPr>
                      <w:rFonts w:hint="eastAsia" w:ascii="宋体" w:hAnsi="宋体"/>
                      <w:color w:val="000000"/>
                      <w:sz w:val="24"/>
                      <w:szCs w:val="24"/>
                    </w:rPr>
                    <w:t>第5-25条、第27-29条、第31-34条、第43条</w:t>
                  </w:r>
                </w:p>
              </w:tc>
              <w:tc>
                <w:tcPr>
                  <w:tcW w:w="1775" w:type="dxa"/>
                  <w:noWrap w:val="0"/>
                  <w:vAlign w:val="center"/>
                </w:tcPr>
                <w:p>
                  <w:pPr>
                    <w:spacing w:line="240" w:lineRule="auto"/>
                    <w:jc w:val="center"/>
                    <w:rPr>
                      <w:rFonts w:hint="eastAsia" w:ascii="宋体" w:hAnsi="宋体"/>
                      <w:color w:val="000000"/>
                      <w:sz w:val="24"/>
                      <w:szCs w:val="24"/>
                    </w:rPr>
                  </w:pPr>
                  <w:r>
                    <w:rPr>
                      <w:rFonts w:hint="eastAsia" w:ascii="宋体" w:hAnsi="宋体"/>
                      <w:color w:val="000000"/>
                      <w:sz w:val="24"/>
                      <w:szCs w:val="24"/>
                    </w:rPr>
                    <w:t>落实做好劳动保护工作</w:t>
                  </w:r>
                </w:p>
              </w:tc>
            </w:tr>
          </w:tbl>
          <w:p>
            <w:pPr>
              <w:pStyle w:val="4"/>
              <w:spacing w:line="240" w:lineRule="auto"/>
              <w:rPr>
                <w:rFonts w:hint="eastAsia"/>
                <w:sz w:val="24"/>
                <w:szCs w:val="24"/>
                <w:vertAlign w:val="baseline"/>
                <w:lang w:val="en-US" w:eastAsia="zh-CN"/>
              </w:rPr>
            </w:pPr>
          </w:p>
          <w:p>
            <w:pPr>
              <w:pStyle w:val="4"/>
              <w:spacing w:line="240" w:lineRule="auto"/>
              <w:rPr>
                <w:rFonts w:hint="default"/>
                <w:sz w:val="24"/>
                <w:szCs w:val="24"/>
                <w:vertAlign w:val="baseline"/>
                <w:lang w:val="en-US" w:eastAsia="zh-CN"/>
              </w:rPr>
            </w:pPr>
            <w:r>
              <w:rPr>
                <w:rFonts w:hint="eastAsia"/>
                <w:sz w:val="24"/>
                <w:szCs w:val="24"/>
                <w:vertAlign w:val="baseline"/>
                <w:lang w:val="en-US" w:eastAsia="zh-CN"/>
              </w:rPr>
              <w:t>查：“</w:t>
            </w:r>
            <w:r>
              <w:rPr>
                <w:rFonts w:hint="eastAsia" w:ascii="Times New Roman" w:hAnsi="Times New Roman" w:eastAsia="宋体" w:cs="Times New Roman"/>
                <w:sz w:val="24"/>
                <w:szCs w:val="24"/>
                <w:vertAlign w:val="baseline"/>
                <w:lang w:val="en-US" w:eastAsia="zh-CN"/>
              </w:rPr>
              <w:t>环境管</w:t>
            </w:r>
            <w:r>
              <w:rPr>
                <w:rFonts w:hint="eastAsia"/>
                <w:sz w:val="24"/>
                <w:szCs w:val="24"/>
                <w:vertAlign w:val="baseline"/>
                <w:lang w:val="en-US" w:eastAsia="zh-CN"/>
              </w:rPr>
              <w:t>理适用法律、法规及其他要求一览表”，最后更新时间2022.1.5.，编审批齐全，收集相关法规共55条，抽查如下：</w:t>
            </w:r>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251"/>
              <w:gridCol w:w="871"/>
              <w:gridCol w:w="871"/>
              <w:gridCol w:w="1888"/>
              <w:gridCol w:w="217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08" w:type="dxa"/>
                  <w:noWrap w:val="0"/>
                  <w:vAlign w:val="center"/>
                </w:tcPr>
                <w:p>
                  <w:pPr>
                    <w:spacing w:line="240" w:lineRule="auto"/>
                    <w:jc w:val="center"/>
                    <w:rPr>
                      <w:rFonts w:hint="eastAsia"/>
                      <w:b/>
                      <w:color w:val="000000"/>
                      <w:sz w:val="24"/>
                      <w:szCs w:val="24"/>
                    </w:rPr>
                  </w:pPr>
                  <w:r>
                    <w:rPr>
                      <w:rFonts w:hint="eastAsia"/>
                      <w:b/>
                      <w:color w:val="000000"/>
                      <w:sz w:val="24"/>
                      <w:szCs w:val="24"/>
                    </w:rPr>
                    <w:t>序号</w:t>
                  </w:r>
                </w:p>
              </w:tc>
              <w:tc>
                <w:tcPr>
                  <w:tcW w:w="2251" w:type="dxa"/>
                  <w:noWrap w:val="0"/>
                  <w:vAlign w:val="center"/>
                </w:tcPr>
                <w:p>
                  <w:pPr>
                    <w:spacing w:line="240" w:lineRule="auto"/>
                    <w:jc w:val="center"/>
                    <w:rPr>
                      <w:rFonts w:hint="eastAsia"/>
                      <w:b/>
                      <w:color w:val="000000"/>
                      <w:sz w:val="24"/>
                      <w:szCs w:val="24"/>
                    </w:rPr>
                  </w:pPr>
                  <w:r>
                    <w:rPr>
                      <w:rFonts w:hint="eastAsia"/>
                      <w:b/>
                      <w:color w:val="000000"/>
                      <w:sz w:val="24"/>
                      <w:szCs w:val="24"/>
                    </w:rPr>
                    <w:t>名称</w:t>
                  </w:r>
                </w:p>
              </w:tc>
              <w:tc>
                <w:tcPr>
                  <w:tcW w:w="871" w:type="dxa"/>
                  <w:noWrap w:val="0"/>
                  <w:vAlign w:val="center"/>
                </w:tcPr>
                <w:p>
                  <w:pPr>
                    <w:spacing w:line="240" w:lineRule="auto"/>
                    <w:jc w:val="center"/>
                    <w:rPr>
                      <w:rFonts w:hint="eastAsia"/>
                      <w:b/>
                      <w:color w:val="000000"/>
                      <w:sz w:val="24"/>
                      <w:szCs w:val="24"/>
                    </w:rPr>
                  </w:pPr>
                  <w:r>
                    <w:rPr>
                      <w:rFonts w:hint="eastAsia"/>
                      <w:b/>
                      <w:color w:val="000000"/>
                      <w:sz w:val="24"/>
                      <w:szCs w:val="24"/>
                    </w:rPr>
                    <w:t>公布日期</w:t>
                  </w:r>
                </w:p>
              </w:tc>
              <w:tc>
                <w:tcPr>
                  <w:tcW w:w="871" w:type="dxa"/>
                  <w:noWrap w:val="0"/>
                  <w:vAlign w:val="center"/>
                </w:tcPr>
                <w:p>
                  <w:pPr>
                    <w:spacing w:line="240" w:lineRule="auto"/>
                    <w:jc w:val="center"/>
                    <w:rPr>
                      <w:rFonts w:hint="eastAsia"/>
                      <w:b/>
                      <w:color w:val="000000"/>
                      <w:sz w:val="24"/>
                      <w:szCs w:val="24"/>
                    </w:rPr>
                  </w:pPr>
                  <w:r>
                    <w:rPr>
                      <w:rFonts w:hint="eastAsia"/>
                      <w:b/>
                      <w:color w:val="000000"/>
                      <w:sz w:val="24"/>
                      <w:szCs w:val="24"/>
                    </w:rPr>
                    <w:t>生效日期</w:t>
                  </w:r>
                </w:p>
              </w:tc>
              <w:tc>
                <w:tcPr>
                  <w:tcW w:w="1888" w:type="dxa"/>
                  <w:noWrap w:val="0"/>
                  <w:vAlign w:val="center"/>
                </w:tcPr>
                <w:p>
                  <w:pPr>
                    <w:spacing w:line="240" w:lineRule="auto"/>
                    <w:jc w:val="center"/>
                    <w:rPr>
                      <w:rFonts w:hint="eastAsia"/>
                      <w:b/>
                      <w:color w:val="000000"/>
                      <w:sz w:val="24"/>
                      <w:szCs w:val="24"/>
                    </w:rPr>
                  </w:pPr>
                  <w:r>
                    <w:rPr>
                      <w:rFonts w:hint="eastAsia"/>
                      <w:b/>
                      <w:color w:val="000000"/>
                      <w:sz w:val="24"/>
                      <w:szCs w:val="24"/>
                    </w:rPr>
                    <w:t>适用条款</w:t>
                  </w:r>
                </w:p>
              </w:tc>
              <w:tc>
                <w:tcPr>
                  <w:tcW w:w="2178" w:type="dxa"/>
                  <w:noWrap w:val="0"/>
                  <w:vAlign w:val="center"/>
                </w:tcPr>
                <w:p>
                  <w:pPr>
                    <w:spacing w:line="240" w:lineRule="auto"/>
                    <w:jc w:val="center"/>
                    <w:rPr>
                      <w:rFonts w:hint="eastAsia"/>
                      <w:b/>
                      <w:color w:val="000000"/>
                      <w:sz w:val="24"/>
                      <w:szCs w:val="24"/>
                    </w:rPr>
                  </w:pPr>
                  <w:r>
                    <w:rPr>
                      <w:rFonts w:hint="eastAsia"/>
                      <w:b/>
                      <w:color w:val="000000"/>
                      <w:sz w:val="24"/>
                      <w:szCs w:val="24"/>
                    </w:rPr>
                    <w:t>对应公司活动</w:t>
                  </w:r>
                </w:p>
              </w:tc>
              <w:tc>
                <w:tcPr>
                  <w:tcW w:w="869" w:type="dxa"/>
                  <w:noWrap w:val="0"/>
                  <w:vAlign w:val="center"/>
                </w:tcPr>
                <w:p>
                  <w:pPr>
                    <w:spacing w:line="240" w:lineRule="auto"/>
                    <w:jc w:val="center"/>
                    <w:rPr>
                      <w:rFonts w:hint="eastAsia"/>
                      <w:b/>
                      <w:color w:val="000000"/>
                      <w:sz w:val="24"/>
                      <w:szCs w:val="24"/>
                    </w:rPr>
                  </w:pPr>
                  <w:r>
                    <w:rPr>
                      <w:rFonts w:hint="eastAsia"/>
                      <w:b/>
                      <w:color w:val="000000"/>
                      <w:sz w:val="24"/>
                      <w:szCs w:val="24"/>
                    </w:rPr>
                    <w:t>管理现状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508" w:type="dxa"/>
                  <w:noWrap w:val="0"/>
                  <w:vAlign w:val="center"/>
                </w:tcPr>
                <w:p>
                  <w:pPr>
                    <w:numPr>
                      <w:ilvl w:val="0"/>
                      <w:numId w:val="5"/>
                    </w:numPr>
                    <w:spacing w:line="240" w:lineRule="auto"/>
                    <w:ind w:left="635" w:leftChars="0" w:firstLineChars="0"/>
                    <w:jc w:val="center"/>
                    <w:rPr>
                      <w:rFonts w:hint="eastAsia"/>
                      <w:color w:val="000000"/>
                      <w:sz w:val="24"/>
                      <w:szCs w:val="24"/>
                    </w:rPr>
                  </w:pPr>
                </w:p>
              </w:tc>
              <w:tc>
                <w:tcPr>
                  <w:tcW w:w="2251" w:type="dxa"/>
                  <w:noWrap w:val="0"/>
                  <w:vAlign w:val="center"/>
                </w:tcPr>
                <w:p>
                  <w:pPr>
                    <w:spacing w:line="240" w:lineRule="auto"/>
                    <w:jc w:val="center"/>
                    <w:rPr>
                      <w:rFonts w:hint="eastAsia"/>
                      <w:color w:val="000000"/>
                      <w:sz w:val="24"/>
                      <w:szCs w:val="24"/>
                    </w:rPr>
                  </w:pPr>
                  <w:r>
                    <w:rPr>
                      <w:rFonts w:hint="eastAsia"/>
                      <w:color w:val="000000"/>
                      <w:sz w:val="24"/>
                      <w:szCs w:val="24"/>
                    </w:rPr>
                    <w:t>《中华人民共和国宪法》（修正）</w:t>
                  </w:r>
                </w:p>
              </w:tc>
              <w:tc>
                <w:tcPr>
                  <w:tcW w:w="871" w:type="dxa"/>
                  <w:noWrap w:val="0"/>
                  <w:vAlign w:val="center"/>
                </w:tcPr>
                <w:p>
                  <w:pPr>
                    <w:spacing w:line="240" w:lineRule="auto"/>
                    <w:jc w:val="center"/>
                    <w:rPr>
                      <w:rFonts w:hint="eastAsia"/>
                      <w:color w:val="000000"/>
                      <w:sz w:val="24"/>
                      <w:szCs w:val="24"/>
                    </w:rPr>
                  </w:pPr>
                  <w:r>
                    <w:rPr>
                      <w:rFonts w:hint="eastAsia"/>
                      <w:color w:val="000000"/>
                      <w:sz w:val="24"/>
                      <w:szCs w:val="24"/>
                    </w:rPr>
                    <w:t>2018.3.11</w:t>
                  </w:r>
                </w:p>
              </w:tc>
              <w:tc>
                <w:tcPr>
                  <w:tcW w:w="871" w:type="dxa"/>
                  <w:noWrap w:val="0"/>
                  <w:vAlign w:val="center"/>
                </w:tcPr>
                <w:p>
                  <w:pPr>
                    <w:spacing w:line="240" w:lineRule="auto"/>
                    <w:jc w:val="center"/>
                    <w:rPr>
                      <w:rFonts w:hint="eastAsia"/>
                      <w:color w:val="000000"/>
                      <w:sz w:val="24"/>
                      <w:szCs w:val="24"/>
                    </w:rPr>
                  </w:pPr>
                  <w:r>
                    <w:rPr>
                      <w:rFonts w:hint="eastAsia"/>
                      <w:color w:val="000000"/>
                      <w:sz w:val="24"/>
                      <w:szCs w:val="24"/>
                    </w:rPr>
                    <w:t>2018.3.11</w:t>
                  </w:r>
                </w:p>
              </w:tc>
              <w:tc>
                <w:tcPr>
                  <w:tcW w:w="1888" w:type="dxa"/>
                  <w:noWrap w:val="0"/>
                  <w:vAlign w:val="center"/>
                </w:tcPr>
                <w:p>
                  <w:pPr>
                    <w:spacing w:line="240" w:lineRule="auto"/>
                    <w:rPr>
                      <w:rFonts w:hint="eastAsia"/>
                      <w:color w:val="000000"/>
                      <w:sz w:val="24"/>
                      <w:szCs w:val="24"/>
                    </w:rPr>
                  </w:pPr>
                  <w:r>
                    <w:rPr>
                      <w:rFonts w:hint="eastAsia"/>
                      <w:color w:val="000000"/>
                      <w:sz w:val="24"/>
                      <w:szCs w:val="24"/>
                    </w:rPr>
                    <w:t>第10.26条</w:t>
                  </w:r>
                </w:p>
              </w:tc>
              <w:tc>
                <w:tcPr>
                  <w:tcW w:w="2178" w:type="dxa"/>
                  <w:noWrap w:val="0"/>
                  <w:vAlign w:val="center"/>
                </w:tcPr>
                <w:p>
                  <w:pPr>
                    <w:spacing w:line="240" w:lineRule="auto"/>
                    <w:rPr>
                      <w:rFonts w:hint="eastAsia"/>
                      <w:color w:val="000000"/>
                      <w:sz w:val="24"/>
                      <w:szCs w:val="24"/>
                    </w:rPr>
                  </w:pPr>
                  <w:r>
                    <w:rPr>
                      <w:rFonts w:hint="eastAsia"/>
                      <w:color w:val="000000"/>
                      <w:sz w:val="24"/>
                      <w:szCs w:val="24"/>
                    </w:rPr>
                    <w:t>所有环境保护活动</w:t>
                  </w:r>
                </w:p>
              </w:tc>
              <w:tc>
                <w:tcPr>
                  <w:tcW w:w="869" w:type="dxa"/>
                  <w:noWrap w:val="0"/>
                  <w:vAlign w:val="center"/>
                </w:tcPr>
                <w:p>
                  <w:pPr>
                    <w:spacing w:line="240" w:lineRule="auto"/>
                    <w:jc w:val="center"/>
                    <w:rPr>
                      <w:rFonts w:hint="eastAsia"/>
                      <w:color w:val="000000"/>
                      <w:sz w:val="24"/>
                      <w:szCs w:val="24"/>
                    </w:rPr>
                  </w:pPr>
                  <w:r>
                    <w:rPr>
                      <w:rFonts w:hint="eastAsia"/>
                      <w:color w:val="000000"/>
                      <w:sz w:val="24"/>
                      <w:szCs w:val="24"/>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508" w:type="dxa"/>
                  <w:noWrap w:val="0"/>
                  <w:vAlign w:val="center"/>
                </w:tcPr>
                <w:p>
                  <w:pPr>
                    <w:numPr>
                      <w:ilvl w:val="0"/>
                      <w:numId w:val="5"/>
                    </w:numPr>
                    <w:spacing w:line="240" w:lineRule="auto"/>
                    <w:ind w:left="635" w:leftChars="0" w:firstLineChars="0"/>
                    <w:jc w:val="center"/>
                    <w:rPr>
                      <w:rFonts w:hint="eastAsia"/>
                      <w:color w:val="000000"/>
                      <w:sz w:val="24"/>
                      <w:szCs w:val="24"/>
                    </w:rPr>
                  </w:pPr>
                </w:p>
              </w:tc>
              <w:tc>
                <w:tcPr>
                  <w:tcW w:w="2251" w:type="dxa"/>
                  <w:noWrap w:val="0"/>
                  <w:vAlign w:val="center"/>
                </w:tcPr>
                <w:p>
                  <w:pPr>
                    <w:spacing w:line="240" w:lineRule="auto"/>
                    <w:rPr>
                      <w:rFonts w:hint="eastAsia"/>
                      <w:color w:val="000000"/>
                      <w:sz w:val="24"/>
                      <w:szCs w:val="24"/>
                    </w:rPr>
                  </w:pPr>
                  <w:r>
                    <w:rPr>
                      <w:rFonts w:hint="eastAsia"/>
                      <w:color w:val="000000"/>
                      <w:sz w:val="24"/>
                      <w:szCs w:val="24"/>
                    </w:rPr>
                    <w:t>《中华人民共和国环境保护法》</w:t>
                  </w:r>
                </w:p>
              </w:tc>
              <w:tc>
                <w:tcPr>
                  <w:tcW w:w="871" w:type="dxa"/>
                  <w:noWrap w:val="0"/>
                  <w:vAlign w:val="center"/>
                </w:tcPr>
                <w:p>
                  <w:pPr>
                    <w:spacing w:line="240" w:lineRule="auto"/>
                    <w:jc w:val="center"/>
                    <w:rPr>
                      <w:rFonts w:hint="eastAsia"/>
                      <w:color w:val="000000"/>
                      <w:sz w:val="24"/>
                      <w:szCs w:val="24"/>
                    </w:rPr>
                  </w:pPr>
                  <w:r>
                    <w:rPr>
                      <w:rFonts w:hint="eastAsia"/>
                      <w:color w:val="000000"/>
                      <w:sz w:val="24"/>
                      <w:szCs w:val="24"/>
                    </w:rPr>
                    <w:t>2014.4.24</w:t>
                  </w:r>
                </w:p>
              </w:tc>
              <w:tc>
                <w:tcPr>
                  <w:tcW w:w="871" w:type="dxa"/>
                  <w:noWrap w:val="0"/>
                  <w:vAlign w:val="center"/>
                </w:tcPr>
                <w:p>
                  <w:pPr>
                    <w:spacing w:line="240" w:lineRule="auto"/>
                    <w:jc w:val="center"/>
                    <w:rPr>
                      <w:rFonts w:hint="eastAsia"/>
                      <w:color w:val="000000"/>
                      <w:sz w:val="24"/>
                      <w:szCs w:val="24"/>
                    </w:rPr>
                  </w:pPr>
                  <w:r>
                    <w:rPr>
                      <w:rFonts w:hint="eastAsia"/>
                      <w:color w:val="000000"/>
                      <w:sz w:val="24"/>
                      <w:szCs w:val="24"/>
                    </w:rPr>
                    <w:t>2015.1.1</w:t>
                  </w:r>
                </w:p>
              </w:tc>
              <w:tc>
                <w:tcPr>
                  <w:tcW w:w="1888" w:type="dxa"/>
                  <w:noWrap w:val="0"/>
                  <w:vAlign w:val="center"/>
                </w:tcPr>
                <w:p>
                  <w:pPr>
                    <w:spacing w:line="240" w:lineRule="auto"/>
                    <w:rPr>
                      <w:rFonts w:hint="eastAsia"/>
                      <w:color w:val="000000"/>
                      <w:sz w:val="24"/>
                      <w:szCs w:val="24"/>
                    </w:rPr>
                  </w:pPr>
                  <w:r>
                    <w:rPr>
                      <w:rFonts w:hint="eastAsia"/>
                      <w:color w:val="000000"/>
                      <w:sz w:val="24"/>
                      <w:szCs w:val="24"/>
                    </w:rPr>
                    <w:t>第24.27.33条</w:t>
                  </w:r>
                </w:p>
              </w:tc>
              <w:tc>
                <w:tcPr>
                  <w:tcW w:w="2178" w:type="dxa"/>
                  <w:noWrap w:val="0"/>
                  <w:vAlign w:val="center"/>
                </w:tcPr>
                <w:p>
                  <w:pPr>
                    <w:spacing w:line="240" w:lineRule="auto"/>
                    <w:rPr>
                      <w:rFonts w:hint="eastAsia"/>
                      <w:color w:val="000000"/>
                      <w:sz w:val="24"/>
                      <w:szCs w:val="24"/>
                    </w:rPr>
                  </w:pPr>
                  <w:r>
                    <w:rPr>
                      <w:rFonts w:hint="eastAsia"/>
                      <w:color w:val="000000"/>
                      <w:sz w:val="24"/>
                      <w:szCs w:val="24"/>
                    </w:rPr>
                    <w:t>环境管理体系的运行、污染物排放的申报、化学品的使用</w:t>
                  </w:r>
                </w:p>
              </w:tc>
              <w:tc>
                <w:tcPr>
                  <w:tcW w:w="869" w:type="dxa"/>
                  <w:noWrap w:val="0"/>
                  <w:vAlign w:val="center"/>
                </w:tcPr>
                <w:p>
                  <w:pPr>
                    <w:spacing w:line="240" w:lineRule="auto"/>
                    <w:jc w:val="center"/>
                    <w:rPr>
                      <w:rFonts w:hint="eastAsia"/>
                      <w:color w:val="000000"/>
                      <w:sz w:val="24"/>
                      <w:szCs w:val="24"/>
                    </w:rPr>
                  </w:pPr>
                  <w:r>
                    <w:rPr>
                      <w:rFonts w:hint="eastAsia"/>
                      <w:color w:val="000000"/>
                      <w:sz w:val="24"/>
                      <w:szCs w:val="24"/>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508" w:type="dxa"/>
                  <w:noWrap w:val="0"/>
                  <w:vAlign w:val="center"/>
                </w:tcPr>
                <w:p>
                  <w:pPr>
                    <w:numPr>
                      <w:ilvl w:val="0"/>
                      <w:numId w:val="5"/>
                    </w:numPr>
                    <w:spacing w:line="240" w:lineRule="auto"/>
                    <w:ind w:left="635" w:leftChars="0" w:firstLineChars="0"/>
                    <w:jc w:val="center"/>
                    <w:rPr>
                      <w:rFonts w:hint="eastAsia"/>
                      <w:color w:val="000000"/>
                      <w:sz w:val="24"/>
                      <w:szCs w:val="24"/>
                    </w:rPr>
                  </w:pPr>
                </w:p>
              </w:tc>
              <w:tc>
                <w:tcPr>
                  <w:tcW w:w="2251" w:type="dxa"/>
                  <w:noWrap w:val="0"/>
                  <w:vAlign w:val="center"/>
                </w:tcPr>
                <w:p>
                  <w:pPr>
                    <w:spacing w:line="240" w:lineRule="auto"/>
                    <w:rPr>
                      <w:rFonts w:hint="eastAsia"/>
                      <w:color w:val="000000"/>
                      <w:sz w:val="24"/>
                      <w:szCs w:val="24"/>
                    </w:rPr>
                  </w:pPr>
                  <w:r>
                    <w:rPr>
                      <w:rFonts w:hint="eastAsia"/>
                      <w:color w:val="000000"/>
                      <w:sz w:val="24"/>
                      <w:szCs w:val="24"/>
                    </w:rPr>
                    <w:t>中华人民共和国环境保护税法</w:t>
                  </w:r>
                </w:p>
              </w:tc>
              <w:tc>
                <w:tcPr>
                  <w:tcW w:w="871" w:type="dxa"/>
                  <w:noWrap w:val="0"/>
                  <w:vAlign w:val="center"/>
                </w:tcPr>
                <w:p>
                  <w:pPr>
                    <w:spacing w:line="240" w:lineRule="auto"/>
                    <w:jc w:val="center"/>
                    <w:rPr>
                      <w:rFonts w:hint="eastAsia"/>
                      <w:color w:val="000000"/>
                      <w:sz w:val="24"/>
                      <w:szCs w:val="24"/>
                    </w:rPr>
                  </w:pPr>
                  <w:r>
                    <w:rPr>
                      <w:rFonts w:hint="eastAsia"/>
                      <w:color w:val="000000"/>
                      <w:sz w:val="24"/>
                      <w:szCs w:val="24"/>
                    </w:rPr>
                    <w:t>2016.12.25</w:t>
                  </w:r>
                </w:p>
              </w:tc>
              <w:tc>
                <w:tcPr>
                  <w:tcW w:w="871" w:type="dxa"/>
                  <w:noWrap w:val="0"/>
                  <w:vAlign w:val="center"/>
                </w:tcPr>
                <w:p>
                  <w:pPr>
                    <w:spacing w:line="240" w:lineRule="auto"/>
                    <w:jc w:val="center"/>
                    <w:rPr>
                      <w:rFonts w:hint="eastAsia"/>
                      <w:color w:val="000000"/>
                      <w:sz w:val="24"/>
                      <w:szCs w:val="24"/>
                    </w:rPr>
                  </w:pPr>
                  <w:r>
                    <w:rPr>
                      <w:rFonts w:hint="eastAsia"/>
                      <w:color w:val="000000"/>
                      <w:sz w:val="24"/>
                      <w:szCs w:val="24"/>
                    </w:rPr>
                    <w:t>2018.1.1</w:t>
                  </w:r>
                </w:p>
              </w:tc>
              <w:tc>
                <w:tcPr>
                  <w:tcW w:w="1888" w:type="dxa"/>
                  <w:noWrap w:val="0"/>
                  <w:vAlign w:val="center"/>
                </w:tcPr>
                <w:p>
                  <w:pPr>
                    <w:spacing w:line="240" w:lineRule="auto"/>
                    <w:rPr>
                      <w:rFonts w:hint="eastAsia"/>
                      <w:color w:val="000000"/>
                      <w:sz w:val="24"/>
                      <w:szCs w:val="24"/>
                    </w:rPr>
                  </w:pPr>
                  <w:r>
                    <w:rPr>
                      <w:rFonts w:hint="eastAsia"/>
                      <w:color w:val="000000"/>
                      <w:sz w:val="24"/>
                      <w:szCs w:val="24"/>
                    </w:rPr>
                    <w:t>第4、5、6、12条</w:t>
                  </w:r>
                </w:p>
              </w:tc>
              <w:tc>
                <w:tcPr>
                  <w:tcW w:w="2178" w:type="dxa"/>
                  <w:noWrap w:val="0"/>
                  <w:vAlign w:val="center"/>
                </w:tcPr>
                <w:p>
                  <w:pPr>
                    <w:spacing w:line="240" w:lineRule="auto"/>
                    <w:rPr>
                      <w:rFonts w:hint="eastAsia"/>
                      <w:color w:val="000000"/>
                      <w:sz w:val="24"/>
                      <w:szCs w:val="24"/>
                    </w:rPr>
                  </w:pPr>
                  <w:r>
                    <w:rPr>
                      <w:rFonts w:hint="eastAsia"/>
                      <w:color w:val="000000"/>
                      <w:sz w:val="24"/>
                      <w:szCs w:val="24"/>
                    </w:rPr>
                    <w:t>所有环境保护活动</w:t>
                  </w:r>
                </w:p>
              </w:tc>
              <w:tc>
                <w:tcPr>
                  <w:tcW w:w="869" w:type="dxa"/>
                  <w:noWrap w:val="0"/>
                  <w:vAlign w:val="center"/>
                </w:tcPr>
                <w:p>
                  <w:pPr>
                    <w:spacing w:line="240" w:lineRule="auto"/>
                    <w:jc w:val="center"/>
                    <w:rPr>
                      <w:rFonts w:hint="eastAsia"/>
                      <w:color w:val="000000"/>
                      <w:sz w:val="24"/>
                      <w:szCs w:val="24"/>
                    </w:rPr>
                  </w:pPr>
                  <w:r>
                    <w:rPr>
                      <w:rFonts w:hint="eastAsia"/>
                      <w:color w:val="000000"/>
                      <w:sz w:val="24"/>
                      <w:szCs w:val="24"/>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508" w:type="dxa"/>
                  <w:noWrap w:val="0"/>
                  <w:vAlign w:val="center"/>
                </w:tcPr>
                <w:p>
                  <w:pPr>
                    <w:numPr>
                      <w:ilvl w:val="0"/>
                      <w:numId w:val="5"/>
                    </w:numPr>
                    <w:spacing w:line="240" w:lineRule="auto"/>
                    <w:ind w:left="635" w:leftChars="0" w:firstLineChars="0"/>
                    <w:jc w:val="center"/>
                    <w:rPr>
                      <w:rFonts w:hint="eastAsia"/>
                      <w:color w:val="000000"/>
                      <w:sz w:val="24"/>
                      <w:szCs w:val="24"/>
                    </w:rPr>
                  </w:pPr>
                </w:p>
              </w:tc>
              <w:tc>
                <w:tcPr>
                  <w:tcW w:w="2251" w:type="dxa"/>
                  <w:noWrap w:val="0"/>
                  <w:vAlign w:val="center"/>
                </w:tcPr>
                <w:p>
                  <w:pPr>
                    <w:spacing w:line="240" w:lineRule="auto"/>
                    <w:rPr>
                      <w:rFonts w:hint="eastAsia"/>
                      <w:color w:val="000000"/>
                      <w:sz w:val="24"/>
                      <w:szCs w:val="24"/>
                    </w:rPr>
                  </w:pPr>
                  <w:r>
                    <w:rPr>
                      <w:rFonts w:hint="eastAsia"/>
                      <w:color w:val="000000"/>
                      <w:sz w:val="24"/>
                      <w:szCs w:val="24"/>
                    </w:rPr>
                    <w:t>《中华人民共和国环境保护税法》实施条例</w:t>
                  </w:r>
                </w:p>
              </w:tc>
              <w:tc>
                <w:tcPr>
                  <w:tcW w:w="871" w:type="dxa"/>
                  <w:noWrap w:val="0"/>
                  <w:vAlign w:val="center"/>
                </w:tcPr>
                <w:p>
                  <w:pPr>
                    <w:spacing w:line="240" w:lineRule="auto"/>
                    <w:jc w:val="center"/>
                    <w:rPr>
                      <w:rFonts w:hint="eastAsia"/>
                      <w:color w:val="000000"/>
                      <w:sz w:val="24"/>
                      <w:szCs w:val="24"/>
                    </w:rPr>
                  </w:pPr>
                  <w:r>
                    <w:rPr>
                      <w:rFonts w:hint="eastAsia"/>
                      <w:color w:val="000000"/>
                      <w:sz w:val="24"/>
                      <w:szCs w:val="24"/>
                    </w:rPr>
                    <w:t>2018-01-01</w:t>
                  </w:r>
                </w:p>
              </w:tc>
              <w:tc>
                <w:tcPr>
                  <w:tcW w:w="871" w:type="dxa"/>
                  <w:noWrap w:val="0"/>
                  <w:vAlign w:val="center"/>
                </w:tcPr>
                <w:p>
                  <w:pPr>
                    <w:spacing w:line="240" w:lineRule="auto"/>
                    <w:jc w:val="center"/>
                    <w:rPr>
                      <w:rFonts w:hint="eastAsia"/>
                      <w:color w:val="000000"/>
                      <w:sz w:val="24"/>
                      <w:szCs w:val="24"/>
                    </w:rPr>
                  </w:pPr>
                  <w:r>
                    <w:rPr>
                      <w:rFonts w:hint="eastAsia"/>
                      <w:color w:val="000000"/>
                      <w:sz w:val="24"/>
                      <w:szCs w:val="24"/>
                    </w:rPr>
                    <w:t>2018-01-01</w:t>
                  </w:r>
                </w:p>
              </w:tc>
              <w:tc>
                <w:tcPr>
                  <w:tcW w:w="1888" w:type="dxa"/>
                  <w:noWrap w:val="0"/>
                  <w:vAlign w:val="center"/>
                </w:tcPr>
                <w:p>
                  <w:pPr>
                    <w:spacing w:line="240" w:lineRule="auto"/>
                    <w:rPr>
                      <w:rFonts w:hint="eastAsia"/>
                      <w:color w:val="000000"/>
                      <w:sz w:val="24"/>
                      <w:szCs w:val="24"/>
                    </w:rPr>
                  </w:pPr>
                  <w:r>
                    <w:rPr>
                      <w:rFonts w:hint="eastAsia"/>
                      <w:color w:val="000000"/>
                      <w:sz w:val="24"/>
                      <w:szCs w:val="24"/>
                    </w:rPr>
                    <w:t>相关条款</w:t>
                  </w:r>
                </w:p>
              </w:tc>
              <w:tc>
                <w:tcPr>
                  <w:tcW w:w="2178" w:type="dxa"/>
                  <w:noWrap w:val="0"/>
                  <w:vAlign w:val="center"/>
                </w:tcPr>
                <w:p>
                  <w:pPr>
                    <w:spacing w:line="240" w:lineRule="auto"/>
                    <w:rPr>
                      <w:rFonts w:hint="eastAsia"/>
                      <w:color w:val="000000"/>
                      <w:sz w:val="24"/>
                      <w:szCs w:val="24"/>
                    </w:rPr>
                  </w:pPr>
                  <w:r>
                    <w:rPr>
                      <w:rFonts w:hint="eastAsia"/>
                      <w:color w:val="000000"/>
                      <w:sz w:val="24"/>
                      <w:szCs w:val="24"/>
                    </w:rPr>
                    <w:t>公司环境活动</w:t>
                  </w:r>
                </w:p>
              </w:tc>
              <w:tc>
                <w:tcPr>
                  <w:tcW w:w="869" w:type="dxa"/>
                  <w:noWrap w:val="0"/>
                  <w:vAlign w:val="center"/>
                </w:tcPr>
                <w:p>
                  <w:pPr>
                    <w:spacing w:line="240" w:lineRule="auto"/>
                    <w:jc w:val="center"/>
                    <w:rPr>
                      <w:rFonts w:hint="eastAsia"/>
                      <w:color w:val="000000"/>
                      <w:sz w:val="24"/>
                      <w:szCs w:val="24"/>
                    </w:rPr>
                  </w:pPr>
                  <w:r>
                    <w:rPr>
                      <w:rFonts w:hint="eastAsia"/>
                      <w:color w:val="000000"/>
                      <w:sz w:val="24"/>
                      <w:szCs w:val="24"/>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trPr>
              <w:tc>
                <w:tcPr>
                  <w:tcW w:w="508" w:type="dxa"/>
                  <w:noWrap w:val="0"/>
                  <w:vAlign w:val="center"/>
                </w:tcPr>
                <w:p>
                  <w:pPr>
                    <w:numPr>
                      <w:ilvl w:val="0"/>
                      <w:numId w:val="5"/>
                    </w:numPr>
                    <w:spacing w:line="240" w:lineRule="auto"/>
                    <w:ind w:left="635" w:leftChars="0" w:firstLineChars="0"/>
                    <w:jc w:val="center"/>
                    <w:rPr>
                      <w:rFonts w:hint="eastAsia"/>
                      <w:color w:val="000000"/>
                      <w:sz w:val="24"/>
                      <w:szCs w:val="24"/>
                    </w:rPr>
                  </w:pPr>
                </w:p>
              </w:tc>
              <w:tc>
                <w:tcPr>
                  <w:tcW w:w="2251" w:type="dxa"/>
                  <w:noWrap w:val="0"/>
                  <w:vAlign w:val="center"/>
                </w:tcPr>
                <w:p>
                  <w:pPr>
                    <w:spacing w:line="240" w:lineRule="auto"/>
                    <w:rPr>
                      <w:rFonts w:hint="eastAsia"/>
                      <w:color w:val="000000"/>
                      <w:sz w:val="24"/>
                      <w:szCs w:val="24"/>
                    </w:rPr>
                  </w:pPr>
                  <w:r>
                    <w:rPr>
                      <w:rFonts w:hint="eastAsia"/>
                      <w:color w:val="000000"/>
                      <w:sz w:val="24"/>
                      <w:szCs w:val="24"/>
                    </w:rPr>
                    <w:t>《中华人民共和国水污染防治法》（修正）</w:t>
                  </w:r>
                </w:p>
              </w:tc>
              <w:tc>
                <w:tcPr>
                  <w:tcW w:w="871" w:type="dxa"/>
                  <w:noWrap w:val="0"/>
                  <w:vAlign w:val="center"/>
                </w:tcPr>
                <w:p>
                  <w:pPr>
                    <w:spacing w:line="240" w:lineRule="auto"/>
                    <w:jc w:val="center"/>
                    <w:rPr>
                      <w:rFonts w:hint="eastAsia"/>
                      <w:color w:val="000000"/>
                      <w:sz w:val="24"/>
                      <w:szCs w:val="24"/>
                    </w:rPr>
                  </w:pPr>
                  <w:r>
                    <w:rPr>
                      <w:rFonts w:hint="eastAsia"/>
                      <w:color w:val="000000"/>
                      <w:sz w:val="24"/>
                      <w:szCs w:val="24"/>
                    </w:rPr>
                    <w:t>2017.6.27</w:t>
                  </w:r>
                </w:p>
              </w:tc>
              <w:tc>
                <w:tcPr>
                  <w:tcW w:w="871" w:type="dxa"/>
                  <w:noWrap w:val="0"/>
                  <w:vAlign w:val="center"/>
                </w:tcPr>
                <w:p>
                  <w:pPr>
                    <w:spacing w:line="240" w:lineRule="auto"/>
                    <w:jc w:val="center"/>
                    <w:rPr>
                      <w:rFonts w:hint="eastAsia"/>
                      <w:color w:val="000000"/>
                      <w:sz w:val="24"/>
                      <w:szCs w:val="24"/>
                    </w:rPr>
                  </w:pPr>
                  <w:r>
                    <w:rPr>
                      <w:rFonts w:hint="eastAsia"/>
                      <w:color w:val="000000"/>
                      <w:sz w:val="24"/>
                      <w:szCs w:val="24"/>
                    </w:rPr>
                    <w:t>2018.1.1</w:t>
                  </w:r>
                </w:p>
              </w:tc>
              <w:tc>
                <w:tcPr>
                  <w:tcW w:w="1888" w:type="dxa"/>
                  <w:noWrap w:val="0"/>
                  <w:vAlign w:val="center"/>
                </w:tcPr>
                <w:p>
                  <w:pPr>
                    <w:spacing w:line="240" w:lineRule="auto"/>
                    <w:rPr>
                      <w:rFonts w:hint="eastAsia"/>
                      <w:color w:val="000000"/>
                      <w:sz w:val="24"/>
                      <w:szCs w:val="24"/>
                    </w:rPr>
                  </w:pPr>
                  <w:r>
                    <w:rPr>
                      <w:rFonts w:hint="eastAsia"/>
                      <w:color w:val="000000"/>
                      <w:sz w:val="24"/>
                      <w:szCs w:val="24"/>
                    </w:rPr>
                    <w:t>第13、14、15、20、21、22、24、29、30、38、39、40、41条</w:t>
                  </w:r>
                </w:p>
              </w:tc>
              <w:tc>
                <w:tcPr>
                  <w:tcW w:w="2178" w:type="dxa"/>
                  <w:noWrap w:val="0"/>
                  <w:vAlign w:val="center"/>
                </w:tcPr>
                <w:p>
                  <w:pPr>
                    <w:spacing w:line="240" w:lineRule="auto"/>
                    <w:rPr>
                      <w:rFonts w:hint="eastAsia"/>
                      <w:color w:val="000000"/>
                      <w:sz w:val="24"/>
                      <w:szCs w:val="24"/>
                    </w:rPr>
                  </w:pPr>
                  <w:r>
                    <w:rPr>
                      <w:rFonts w:hint="eastAsia"/>
                      <w:color w:val="000000"/>
                      <w:sz w:val="24"/>
                      <w:szCs w:val="24"/>
                    </w:rPr>
                    <w:t>扩建工程、废水排放的申报、油类、废化学品的排放</w:t>
                  </w:r>
                </w:p>
              </w:tc>
              <w:tc>
                <w:tcPr>
                  <w:tcW w:w="869" w:type="dxa"/>
                  <w:noWrap w:val="0"/>
                  <w:vAlign w:val="center"/>
                </w:tcPr>
                <w:p>
                  <w:pPr>
                    <w:spacing w:line="240" w:lineRule="auto"/>
                    <w:jc w:val="center"/>
                    <w:rPr>
                      <w:rFonts w:hint="eastAsia"/>
                      <w:color w:val="000000"/>
                      <w:sz w:val="24"/>
                      <w:szCs w:val="24"/>
                    </w:rPr>
                  </w:pPr>
                  <w:r>
                    <w:rPr>
                      <w:rFonts w:hint="eastAsia"/>
                      <w:color w:val="000000"/>
                      <w:sz w:val="24"/>
                      <w:szCs w:val="24"/>
                    </w:rPr>
                    <w:t>基本有效</w:t>
                  </w:r>
                </w:p>
              </w:tc>
            </w:tr>
          </w:tbl>
          <w:p>
            <w:pPr>
              <w:pStyle w:val="4"/>
              <w:spacing w:line="240" w:lineRule="auto"/>
              <w:rPr>
                <w:rFonts w:hint="default"/>
                <w:sz w:val="24"/>
                <w:szCs w:val="24"/>
                <w:lang w:val="en-US" w:eastAsia="zh-CN"/>
              </w:rPr>
            </w:pPr>
          </w:p>
          <w:p>
            <w:pPr>
              <w:pStyle w:val="4"/>
              <w:spacing w:line="240" w:lineRule="auto"/>
              <w:rPr>
                <w:rFonts w:hint="eastAsia" w:asciiTheme="minorEastAsia" w:hAnsiTheme="minorEastAsia" w:eastAsiaTheme="minorEastAsia"/>
                <w:sz w:val="24"/>
                <w:szCs w:val="24"/>
                <w:lang w:val="en-US" w:eastAsia="zh-CN"/>
              </w:rPr>
            </w:pPr>
            <w:r>
              <w:rPr>
                <w:rFonts w:hint="eastAsia"/>
                <w:sz w:val="24"/>
                <w:szCs w:val="24"/>
                <w:lang w:val="en-US" w:eastAsia="zh-CN"/>
              </w:rPr>
              <w:t>---</w:t>
            </w:r>
            <w:r>
              <w:rPr>
                <w:rFonts w:hint="eastAsia" w:asciiTheme="minorEastAsia" w:hAnsiTheme="minorEastAsia" w:eastAsiaTheme="minorEastAsia"/>
                <w:sz w:val="24"/>
                <w:szCs w:val="24"/>
                <w:lang w:val="en-US" w:eastAsia="zh-CN"/>
              </w:rPr>
              <w:t>医疗器械经营许可证或备案——不涉及。</w:t>
            </w:r>
          </w:p>
          <w:p>
            <w:pPr>
              <w:pStyle w:val="4"/>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---安评、职评——不适用。</w:t>
            </w:r>
          </w:p>
          <w:p>
            <w:pPr>
              <w:pStyle w:val="4"/>
              <w:spacing w:line="24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---消防备案——由业主负责。</w:t>
            </w:r>
          </w:p>
          <w:p>
            <w:pPr>
              <w:pStyle w:val="4"/>
              <w:spacing w:line="240" w:lineRule="auto"/>
              <w:rPr>
                <w:rFonts w:hint="default"/>
                <w:sz w:val="24"/>
                <w:szCs w:val="24"/>
                <w:lang w:val="en-US" w:eastAsia="zh-CN"/>
              </w:rPr>
            </w:pPr>
          </w:p>
          <w:p>
            <w:pPr>
              <w:pStyle w:val="4"/>
              <w:spacing w:line="240" w:lineRule="auto"/>
              <w:rPr>
                <w:rFonts w:hint="default"/>
                <w:sz w:val="24"/>
                <w:szCs w:val="24"/>
                <w:lang w:val="en-US" w:eastAsia="zh-CN"/>
              </w:rPr>
            </w:pPr>
            <w:r>
              <w:rPr>
                <w:rFonts w:hint="eastAsia"/>
                <w:sz w:val="24"/>
                <w:szCs w:val="24"/>
                <w:lang w:val="en-US" w:eastAsia="zh-CN"/>
              </w:rPr>
              <w:t>——符合要求</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default" w:cs="Arial" w:asciiTheme="minorEastAsia" w:hAnsiTheme="minorEastAsia" w:eastAsiaTheme="minorEastAsia"/>
                <w:color w:val="000000" w:themeColor="text1"/>
                <w:sz w:val="24"/>
                <w:szCs w:val="24"/>
                <w:lang w:val="en-US" w:eastAsia="zh-CN"/>
              </w:rPr>
            </w:pPr>
            <w:r>
              <w:rPr>
                <w:rFonts w:hint="eastAsia" w:cs="Arial" w:asciiTheme="minorEastAsia" w:hAnsiTheme="minorEastAsia" w:eastAsiaTheme="minorEastAsia"/>
                <w:color w:val="000000" w:themeColor="text1"/>
                <w:sz w:val="24"/>
                <w:szCs w:val="24"/>
                <w:lang w:val="en-US" w:eastAsia="zh-CN"/>
              </w:rPr>
              <w:t>合规性评价</w:t>
            </w:r>
          </w:p>
        </w:tc>
        <w:tc>
          <w:tcPr>
            <w:tcW w:w="960" w:type="dxa"/>
          </w:tcPr>
          <w:p>
            <w:pPr>
              <w:spacing w:line="240" w:lineRule="auto"/>
              <w:rPr>
                <w:rFonts w:hint="default"/>
                <w:sz w:val="24"/>
                <w:szCs w:val="24"/>
                <w:lang w:val="en-US" w:eastAsia="zh-CN"/>
              </w:rPr>
            </w:pPr>
            <w:r>
              <w:rPr>
                <w:rFonts w:hint="eastAsia"/>
                <w:sz w:val="24"/>
                <w:szCs w:val="24"/>
                <w:lang w:val="en-US" w:eastAsia="zh-CN"/>
              </w:rPr>
              <w:t>ES9.1.2</w:t>
            </w:r>
          </w:p>
        </w:tc>
        <w:tc>
          <w:tcPr>
            <w:tcW w:w="10004" w:type="dxa"/>
          </w:tcPr>
          <w:p>
            <w:pPr>
              <w:pStyle w:val="4"/>
              <w:spacing w:line="240" w:lineRule="auto"/>
              <w:rPr>
                <w:rFonts w:hint="eastAsia"/>
                <w:sz w:val="24"/>
                <w:szCs w:val="24"/>
                <w:lang w:val="en-US" w:eastAsia="zh-CN"/>
              </w:rPr>
            </w:pPr>
            <w:r>
              <w:rPr>
                <w:rFonts w:hint="eastAsia"/>
                <w:sz w:val="24"/>
                <w:szCs w:val="24"/>
                <w:lang w:val="en-US" w:eastAsia="zh-CN"/>
              </w:rPr>
              <w:t>查合规性评价记录：</w:t>
            </w:r>
          </w:p>
          <w:p>
            <w:pPr>
              <w:pStyle w:val="4"/>
              <w:spacing w:line="240" w:lineRule="auto"/>
              <w:rPr>
                <w:rFonts w:hint="eastAsia"/>
                <w:sz w:val="24"/>
                <w:szCs w:val="24"/>
                <w:lang w:val="en-US" w:eastAsia="zh-CN"/>
              </w:rPr>
            </w:pPr>
            <w:r>
              <w:rPr>
                <w:rFonts w:hint="eastAsia"/>
                <w:sz w:val="24"/>
                <w:szCs w:val="24"/>
                <w:lang w:val="en-US" w:eastAsia="zh-CN"/>
              </w:rPr>
              <w:t>提供有“环境法律法规合规性评价表 ”评价人：李少飞、李聪、刘凤娥、丁振波/2022-3-28          审核人/日期：聂艳丽/2022-3-28 ；内容显示对55项法律法规进行了更新日期、条款识别及符合性评价。</w:t>
            </w:r>
          </w:p>
          <w:p>
            <w:pPr>
              <w:pStyle w:val="4"/>
              <w:spacing w:line="240" w:lineRule="auto"/>
              <w:rPr>
                <w:rFonts w:hint="eastAsia"/>
                <w:sz w:val="24"/>
                <w:szCs w:val="24"/>
                <w:lang w:val="en-US" w:eastAsia="zh-CN"/>
              </w:rPr>
            </w:pPr>
            <w:r>
              <w:rPr>
                <w:rFonts w:hint="eastAsia"/>
                <w:sz w:val="24"/>
                <w:szCs w:val="24"/>
                <w:lang w:val="en-US" w:eastAsia="zh-CN"/>
              </w:rPr>
              <w:t>提供有“安全法律法规合规性评价表”，评价人：李少飞、李聪、刘凤娥、丁振波/2022-3-28          审核人/日期：聂艳丽/2022-3-28 ；内容显示对62项法律法规进行了更新日期、条款识别及符合性评价。</w:t>
            </w:r>
          </w:p>
          <w:p>
            <w:pPr>
              <w:pStyle w:val="4"/>
              <w:spacing w:line="240" w:lineRule="auto"/>
              <w:rPr>
                <w:rFonts w:hint="default"/>
                <w:color w:val="FF0000"/>
                <w:sz w:val="24"/>
                <w:szCs w:val="24"/>
                <w:lang w:val="en-US" w:eastAsia="zh-CN"/>
              </w:rPr>
            </w:pPr>
            <w:r>
              <w:rPr>
                <w:rFonts w:hint="eastAsia"/>
                <w:color w:val="FF0000"/>
                <w:sz w:val="24"/>
                <w:szCs w:val="24"/>
                <w:lang w:val="en-US" w:eastAsia="zh-CN"/>
              </w:rPr>
              <w:t>——不符合：</w:t>
            </w:r>
            <w:r>
              <w:rPr>
                <w:rFonts w:hint="eastAsia" w:ascii="Times New Roman" w:hAnsi="Times New Roman" w:eastAsia="宋体" w:cs="Times New Roman"/>
                <w:color w:val="FF0000"/>
                <w:sz w:val="24"/>
                <w:szCs w:val="24"/>
                <w:lang w:val="en-US" w:eastAsia="zh-CN"/>
              </w:rPr>
              <w:t>未见合规性评价报告。</w:t>
            </w:r>
          </w:p>
          <w:p>
            <w:pPr>
              <w:pStyle w:val="4"/>
              <w:spacing w:line="240" w:lineRule="auto"/>
              <w:rPr>
                <w:rFonts w:hint="default"/>
                <w:sz w:val="24"/>
                <w:szCs w:val="24"/>
                <w:lang w:val="en-US" w:eastAsia="zh-CN"/>
              </w:rPr>
            </w:pPr>
          </w:p>
        </w:tc>
        <w:tc>
          <w:tcPr>
            <w:tcW w:w="1585" w:type="dxa"/>
          </w:tcPr>
          <w:p>
            <w:pPr>
              <w:spacing w:line="240" w:lineRule="auto"/>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rFonts w:hint="default" w:eastAsia="宋体"/>
                <w:sz w:val="24"/>
                <w:szCs w:val="24"/>
                <w:lang w:val="en-US" w:eastAsia="zh-CN"/>
              </w:rPr>
            </w:pPr>
            <w:r>
              <w:rPr>
                <w:rFonts w:hint="eastAsia"/>
                <w:color w:val="FF0000"/>
                <w:sz w:val="24"/>
                <w:szCs w:val="24"/>
                <w:lang w:val="en-US" w:eastAsia="zh-CN"/>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default" w:cs="Arial" w:asciiTheme="minorEastAsia" w:hAnsiTheme="minorEastAsia" w:eastAsiaTheme="minorEastAsia"/>
                <w:color w:val="000000" w:themeColor="text1"/>
                <w:sz w:val="24"/>
                <w:szCs w:val="24"/>
                <w:lang w:val="en-US" w:eastAsia="zh-CN"/>
              </w:rPr>
            </w:pPr>
            <w:r>
              <w:rPr>
                <w:rFonts w:hint="eastAsia" w:cs="Arial" w:asciiTheme="minorEastAsia" w:hAnsiTheme="minorEastAsia" w:eastAsiaTheme="minorEastAsia"/>
                <w:color w:val="000000" w:themeColor="text1"/>
                <w:sz w:val="24"/>
                <w:szCs w:val="24"/>
                <w:lang w:val="en-US" w:eastAsia="zh-CN"/>
              </w:rPr>
              <w:t>内部审核</w:t>
            </w:r>
          </w:p>
        </w:tc>
        <w:tc>
          <w:tcPr>
            <w:tcW w:w="960" w:type="dxa"/>
          </w:tcPr>
          <w:p>
            <w:pPr>
              <w:spacing w:line="240" w:lineRule="auto"/>
              <w:rPr>
                <w:rFonts w:hint="default"/>
                <w:sz w:val="24"/>
                <w:szCs w:val="24"/>
                <w:lang w:val="en-US" w:eastAsia="zh-CN"/>
              </w:rPr>
            </w:pPr>
            <w:r>
              <w:rPr>
                <w:rFonts w:hint="eastAsia"/>
                <w:sz w:val="24"/>
                <w:szCs w:val="24"/>
                <w:lang w:val="en-US" w:eastAsia="zh-CN"/>
              </w:rPr>
              <w:t>QES9.2</w:t>
            </w:r>
          </w:p>
        </w:tc>
        <w:tc>
          <w:tcPr>
            <w:tcW w:w="10004" w:type="dxa"/>
          </w:tcPr>
          <w:p>
            <w:pPr>
              <w:pStyle w:val="2"/>
              <w:rPr>
                <w:rFonts w:hint="eastAsia"/>
              </w:rPr>
            </w:pPr>
            <w:r>
              <w:rPr>
                <w:rFonts w:hint="eastAsia"/>
                <w:lang w:val="en-US" w:eastAsia="zh-CN"/>
              </w:rPr>
              <w:t>---</w:t>
            </w:r>
            <w:r>
              <w:rPr>
                <w:rFonts w:hint="eastAsia"/>
              </w:rPr>
              <w:t>制定了《内审控制程序》进行内部审核过程控制。</w:t>
            </w:r>
          </w:p>
          <w:p>
            <w:pPr>
              <w:pStyle w:val="2"/>
              <w:rPr>
                <w:rFonts w:hint="eastAsia"/>
              </w:rPr>
            </w:pPr>
            <w:r>
              <w:rPr>
                <w:rFonts w:hint="eastAsia"/>
                <w:lang w:val="en-US" w:eastAsia="zh-CN"/>
              </w:rPr>
              <w:t>---</w:t>
            </w:r>
            <w:r>
              <w:rPr>
                <w:rFonts w:hint="eastAsia"/>
              </w:rPr>
              <w:t>提供内审记录，抽查内容如下：</w:t>
            </w:r>
          </w:p>
          <w:p>
            <w:pPr>
              <w:pStyle w:val="2"/>
              <w:rPr>
                <w:rFonts w:hint="eastAsia"/>
              </w:rPr>
            </w:pPr>
            <w:r>
              <w:rPr>
                <w:rFonts w:hint="eastAsia"/>
              </w:rPr>
              <w:t>审核组：</w:t>
            </w:r>
            <w:r>
              <w:rPr>
                <w:rFonts w:hint="eastAsia"/>
                <w:lang w:val="en-US" w:eastAsia="zh-CN"/>
              </w:rPr>
              <w:t>组长/组员：A聂艳丽/B李聪</w:t>
            </w:r>
            <w:r>
              <w:rPr>
                <w:rFonts w:hint="eastAsia"/>
              </w:rPr>
              <w:t>：签到表显示，总经理、管</w:t>
            </w:r>
            <w:r>
              <w:rPr>
                <w:rFonts w:hint="eastAsia" w:ascii="黑体" w:hAnsi="黑体" w:eastAsia="黑体"/>
                <w:bCs/>
                <w:sz w:val="24"/>
                <w:szCs w:val="24"/>
                <w:lang w:eastAsia="zh-CN"/>
              </w:rPr>
              <w:t>综合办公室</w:t>
            </w:r>
            <w:r>
              <w:rPr>
                <w:rFonts w:hint="eastAsia"/>
              </w:rPr>
              <w:t>、</w:t>
            </w:r>
            <w:r>
              <w:rPr>
                <w:rFonts w:hint="eastAsia" w:ascii="黑体" w:hAnsi="黑体" w:eastAsia="黑体"/>
                <w:bCs/>
                <w:sz w:val="24"/>
                <w:szCs w:val="24"/>
              </w:rPr>
              <w:t>供销部</w:t>
            </w:r>
            <w:r>
              <w:rPr>
                <w:rFonts w:hint="eastAsia" w:ascii="黑体" w:hAnsi="黑体" w:eastAsia="黑体"/>
                <w:bCs/>
                <w:sz w:val="24"/>
                <w:szCs w:val="24"/>
                <w:lang w:eastAsia="zh-CN"/>
              </w:rPr>
              <w:t>、</w:t>
            </w:r>
            <w:r>
              <w:rPr>
                <w:rFonts w:hint="eastAsia" w:ascii="黑体" w:hAnsi="黑体" w:eastAsia="黑体"/>
                <w:bCs/>
                <w:sz w:val="24"/>
                <w:szCs w:val="24"/>
              </w:rPr>
              <w:t>财务部</w:t>
            </w:r>
            <w:r>
              <w:rPr>
                <w:rFonts w:hint="eastAsia"/>
              </w:rPr>
              <w:t>参与了内部审核的首末次会议；</w:t>
            </w:r>
            <w:r>
              <w:rPr>
                <w:rFonts w:hint="eastAsia"/>
                <w:lang w:val="en-US" w:eastAsia="zh-CN"/>
              </w:rPr>
              <w:t>未</w:t>
            </w:r>
            <w:r>
              <w:rPr>
                <w:rFonts w:hint="eastAsia"/>
              </w:rPr>
              <w:t>提</w:t>
            </w:r>
            <w:r>
              <w:rPr>
                <w:rFonts w:hint="eastAsia" w:ascii="Times New Roman" w:hAnsi="Times New Roman" w:eastAsia="宋体" w:cs="Times New Roman"/>
              </w:rPr>
              <w:t>供内审员任命书。</w:t>
            </w:r>
          </w:p>
          <w:p>
            <w:pPr>
              <w:pStyle w:val="2"/>
              <w:rPr>
                <w:rFonts w:hint="eastAsia"/>
              </w:rPr>
            </w:pPr>
            <w:r>
              <w:rPr>
                <w:rFonts w:hint="eastAsia"/>
                <w:highlight w:val="none"/>
              </w:rPr>
              <w:t>查2022</w:t>
            </w:r>
            <w:r>
              <w:rPr>
                <w:rFonts w:hint="eastAsia"/>
                <w:highlight w:val="none"/>
                <w:lang w:val="en-US" w:eastAsia="zh-CN"/>
              </w:rPr>
              <w:t>.4.20</w:t>
            </w:r>
            <w:r>
              <w:rPr>
                <w:rFonts w:hint="eastAsia"/>
                <w:highlight w:val="none"/>
              </w:rPr>
              <w:t>.制定计划，2022.</w:t>
            </w:r>
            <w:r>
              <w:rPr>
                <w:rFonts w:hint="eastAsia"/>
                <w:highlight w:val="none"/>
                <w:lang w:val="en-US" w:eastAsia="zh-CN"/>
              </w:rPr>
              <w:t>4.28-29</w:t>
            </w:r>
            <w:r>
              <w:rPr>
                <w:rFonts w:hint="eastAsia"/>
                <w:highlight w:val="none"/>
              </w:rPr>
              <w:t>.实施的内部审核</w:t>
            </w:r>
            <w:r>
              <w:rPr>
                <w:rFonts w:hint="eastAsia"/>
              </w:rPr>
              <w:t>，内容包括审核目的、审核范围、审核准则、审核具体日程安排、编制批准等，内容完整，能够满足策划要求。</w:t>
            </w:r>
          </w:p>
          <w:p>
            <w:pPr>
              <w:pStyle w:val="2"/>
              <w:rPr>
                <w:rFonts w:hint="eastAsia"/>
              </w:rPr>
            </w:pPr>
            <w:r>
              <w:rPr>
                <w:rFonts w:hint="eastAsia"/>
              </w:rPr>
              <w:t>提供各部门《内部审核检查表》，内容包括条款号、检查内容、检查记录和结果判定等，记录显示，审核组有按照计划要求进行，满足执行要求。</w:t>
            </w:r>
          </w:p>
          <w:p>
            <w:pPr>
              <w:pStyle w:val="2"/>
              <w:rPr>
                <w:rFonts w:hint="eastAsia"/>
              </w:rPr>
            </w:pPr>
            <w:r>
              <w:rPr>
                <w:rFonts w:hint="eastAsia"/>
              </w:rPr>
              <w:t>查《内审报告》中内部审核结论记录如下：</w:t>
            </w:r>
          </w:p>
          <w:p>
            <w:pPr>
              <w:pStyle w:val="2"/>
              <w:rPr>
                <w:rFonts w:hint="eastAsia"/>
                <w:lang w:eastAsia="zh-CN"/>
              </w:rPr>
            </w:pPr>
            <w:r>
              <w:rPr>
                <w:rFonts w:hint="eastAsia"/>
                <w:lang w:eastAsia="zh-CN"/>
              </w:rPr>
              <w:t xml:space="preserve"> 公司建立的质量/环境境/职业健康安全管理体系基本符合GB/T19001-2016、GB/T24001-2016、</w:t>
            </w:r>
          </w:p>
          <w:p>
            <w:pPr>
              <w:pStyle w:val="2"/>
              <w:rPr>
                <w:rFonts w:hint="eastAsia"/>
                <w:lang w:eastAsia="zh-CN"/>
              </w:rPr>
            </w:pPr>
            <w:r>
              <w:rPr>
                <w:rFonts w:hint="eastAsia"/>
                <w:lang w:eastAsia="zh-CN"/>
              </w:rPr>
              <w:t>GB/T45001-2020标准要求。管理体系的运行是适宜的、充分的、有效的。</w:t>
            </w:r>
          </w:p>
          <w:p>
            <w:pPr>
              <w:pStyle w:val="2"/>
              <w:rPr>
                <w:rFonts w:hint="eastAsia"/>
              </w:rPr>
            </w:pPr>
            <w:r>
              <w:rPr>
                <w:rFonts w:hint="eastAsia"/>
              </w:rPr>
              <w:t>不符合标准条款或公司文件：</w:t>
            </w:r>
            <w:r>
              <w:rPr>
                <w:rFonts w:hint="eastAsia"/>
                <w:lang w:val="en-US" w:eastAsia="zh-CN"/>
              </w:rPr>
              <w:t>EO9.1.2;未能提供对2022年度法律法规进行合规性评价的证据</w:t>
            </w:r>
            <w:r>
              <w:rPr>
                <w:rFonts w:hint="eastAsia"/>
              </w:rPr>
              <w:t>。</w:t>
            </w:r>
          </w:p>
          <w:p>
            <w:pPr>
              <w:pStyle w:val="2"/>
              <w:rPr>
                <w:rFonts w:hint="default" w:eastAsia="宋体"/>
                <w:lang w:val="en-US" w:eastAsia="zh-CN"/>
              </w:rPr>
            </w:pPr>
            <w:r>
              <w:rPr>
                <w:rFonts w:hint="eastAsia"/>
                <w:lang w:val="en-US" w:eastAsia="zh-CN"/>
              </w:rPr>
              <w:t>——查内审检查表：</w:t>
            </w:r>
          </w:p>
          <w:p>
            <w:pPr>
              <w:pStyle w:val="2"/>
              <w:rPr>
                <w:rFonts w:hint="eastAsia" w:ascii="黑体" w:hAnsi="黑体" w:eastAsia="黑体" w:cs="黑体"/>
                <w:color w:val="000000"/>
                <w:sz w:val="24"/>
              </w:rPr>
            </w:pPr>
            <w:r>
              <w:rPr>
                <w:rFonts w:hint="eastAsia"/>
                <w:lang w:val="en-US" w:eastAsia="zh-CN"/>
              </w:rPr>
              <w:t>——内审检查表里记录，内审计划时间2022.10.25-26.；实际实施时间2022.10.25-26.；有会议签到表、不符合及整改；管评</w:t>
            </w:r>
            <w:r>
              <w:rPr>
                <w:rFonts w:hint="eastAsia" w:ascii="黑体" w:hAnsi="黑体" w:eastAsia="黑体" w:cs="黑体"/>
                <w:color w:val="000000"/>
                <w:sz w:val="24"/>
              </w:rPr>
              <w:t>策划于</w:t>
            </w:r>
            <w:r>
              <w:rPr>
                <w:rFonts w:hint="eastAsia" w:ascii="黑体" w:hAnsi="黑体" w:eastAsia="黑体" w:cs="黑体"/>
                <w:color w:val="000000"/>
                <w:sz w:val="24"/>
                <w:lang w:eastAsia="zh-CN"/>
              </w:rPr>
              <w:t>2022</w:t>
            </w:r>
            <w:r>
              <w:rPr>
                <w:rFonts w:hint="eastAsia" w:ascii="黑体" w:hAnsi="黑体" w:eastAsia="黑体" w:cs="黑体"/>
                <w:color w:val="000000"/>
                <w:sz w:val="24"/>
              </w:rPr>
              <w:t>年</w:t>
            </w:r>
            <w:r>
              <w:rPr>
                <w:rFonts w:ascii="黑体" w:hAnsi="黑体" w:eastAsia="黑体" w:cs="黑体"/>
                <w:color w:val="000000"/>
                <w:sz w:val="24"/>
              </w:rPr>
              <w:t>11</w:t>
            </w:r>
            <w:r>
              <w:rPr>
                <w:rFonts w:hint="eastAsia" w:ascii="黑体" w:hAnsi="黑体" w:eastAsia="黑体" w:cs="黑体"/>
                <w:color w:val="000000"/>
                <w:sz w:val="24"/>
              </w:rPr>
              <w:t>月</w:t>
            </w:r>
            <w:r>
              <w:rPr>
                <w:rFonts w:ascii="黑体" w:hAnsi="黑体" w:eastAsia="黑体" w:cs="黑体"/>
                <w:color w:val="000000"/>
                <w:sz w:val="24"/>
              </w:rPr>
              <w:t>8</w:t>
            </w:r>
            <w:r>
              <w:rPr>
                <w:rFonts w:hint="eastAsia" w:ascii="黑体" w:hAnsi="黑体" w:eastAsia="黑体" w:cs="黑体"/>
                <w:color w:val="000000"/>
                <w:sz w:val="24"/>
              </w:rPr>
              <w:t>日</w:t>
            </w:r>
            <w:r>
              <w:rPr>
                <w:rFonts w:hint="eastAsia" w:ascii="黑体" w:hAnsi="黑体" w:eastAsia="黑体" w:cs="黑体"/>
                <w:color w:val="000000"/>
                <w:sz w:val="24"/>
                <w:lang w:eastAsia="zh-CN"/>
              </w:rPr>
              <w:t>；</w:t>
            </w:r>
            <w:r>
              <w:rPr>
                <w:rFonts w:hint="eastAsia" w:ascii="黑体" w:hAnsi="黑体" w:eastAsia="黑体" w:cs="黑体"/>
                <w:color w:val="000000"/>
                <w:sz w:val="24"/>
                <w:lang w:val="en-US" w:eastAsia="zh-CN"/>
              </w:rPr>
              <w:t>实际实施：</w:t>
            </w:r>
            <w:r>
              <w:rPr>
                <w:rFonts w:hint="eastAsia" w:ascii="黑体" w:hAnsi="黑体" w:eastAsia="黑体" w:cs="黑体"/>
                <w:color w:val="000000"/>
                <w:sz w:val="24"/>
              </w:rPr>
              <w:t>管理评审于</w:t>
            </w:r>
            <w:r>
              <w:rPr>
                <w:rFonts w:hint="eastAsia" w:ascii="黑体" w:hAnsi="黑体" w:eastAsia="黑体" w:cs="黑体"/>
                <w:color w:val="000000"/>
                <w:sz w:val="24"/>
                <w:lang w:eastAsia="zh-CN"/>
              </w:rPr>
              <w:t>2022</w:t>
            </w:r>
            <w:r>
              <w:rPr>
                <w:rFonts w:hint="eastAsia" w:ascii="黑体" w:hAnsi="黑体" w:eastAsia="黑体" w:cs="黑体"/>
                <w:color w:val="000000"/>
                <w:sz w:val="24"/>
              </w:rPr>
              <w:t>年</w:t>
            </w:r>
            <w:r>
              <w:rPr>
                <w:rFonts w:ascii="黑体" w:hAnsi="黑体" w:eastAsia="黑体" w:cs="黑体"/>
                <w:color w:val="000000"/>
                <w:sz w:val="24"/>
              </w:rPr>
              <w:t>11</w:t>
            </w:r>
            <w:r>
              <w:rPr>
                <w:rFonts w:hint="eastAsia" w:ascii="黑体" w:hAnsi="黑体" w:eastAsia="黑体" w:cs="黑体"/>
                <w:color w:val="000000"/>
                <w:sz w:val="24"/>
              </w:rPr>
              <w:t>月</w:t>
            </w:r>
            <w:r>
              <w:rPr>
                <w:rFonts w:ascii="黑体" w:hAnsi="黑体" w:eastAsia="黑体" w:cs="黑体"/>
                <w:color w:val="000000"/>
                <w:sz w:val="24"/>
              </w:rPr>
              <w:t>8</w:t>
            </w:r>
            <w:r>
              <w:rPr>
                <w:rFonts w:hint="eastAsia" w:ascii="黑体" w:hAnsi="黑体" w:eastAsia="黑体" w:cs="黑体"/>
                <w:color w:val="000000"/>
                <w:sz w:val="24"/>
              </w:rPr>
              <w:t>日由总经理主持，地点：会议室，各部门主管参加，有签到表。</w:t>
            </w:r>
          </w:p>
          <w:p>
            <w:pPr>
              <w:pStyle w:val="2"/>
              <w:rPr>
                <w:rFonts w:hint="eastAsia"/>
                <w:lang w:val="en-US" w:eastAsia="zh-CN"/>
              </w:rPr>
            </w:pPr>
            <w:r>
              <w:rPr>
                <w:rFonts w:hint="eastAsia" w:ascii="黑体" w:hAnsi="黑体" w:eastAsia="黑体" w:cs="黑体"/>
                <w:color w:val="000000"/>
                <w:sz w:val="24"/>
                <w:lang w:eastAsia="zh-CN"/>
              </w:rPr>
              <w:t>——</w:t>
            </w:r>
            <w:r>
              <w:rPr>
                <w:rFonts w:hint="eastAsia" w:ascii="黑体" w:hAnsi="黑体" w:eastAsia="黑体" w:cs="黑体"/>
                <w:color w:val="000000"/>
                <w:sz w:val="24"/>
                <w:lang w:val="en-US" w:eastAsia="zh-CN"/>
              </w:rPr>
              <w:t>内审</w:t>
            </w:r>
            <w:r>
              <w:rPr>
                <w:rFonts w:hint="eastAsia"/>
              </w:rPr>
              <w:t>不符合</w:t>
            </w:r>
            <w:r>
              <w:rPr>
                <w:rFonts w:hint="eastAsia"/>
                <w:lang w:eastAsia="zh-CN"/>
              </w:rPr>
              <w:t>：</w:t>
            </w:r>
            <w:r>
              <w:rPr>
                <w:rFonts w:hint="eastAsia"/>
                <w:lang w:val="en-US" w:eastAsia="zh-CN"/>
              </w:rPr>
              <w:t>未能提供对2022年度法律法规进行合规性评价的证据</w:t>
            </w:r>
            <w:r>
              <w:rPr>
                <w:rFonts w:hint="eastAsia"/>
              </w:rPr>
              <w:t>。</w:t>
            </w:r>
            <w:r>
              <w:rPr>
                <w:rFonts w:hint="eastAsia"/>
                <w:lang w:val="en-US" w:eastAsia="zh-CN"/>
              </w:rPr>
              <w:t>开局时间2022.4.29；实际提供有2022.3.28，的合规性评价记录。</w:t>
            </w:r>
          </w:p>
          <w:p>
            <w:pPr>
              <w:spacing w:line="320" w:lineRule="exact"/>
              <w:rPr>
                <w:rFonts w:ascii="黑体" w:hAnsi="黑体" w:eastAsia="黑体" w:cs="黑体"/>
                <w:color w:val="000000"/>
                <w:sz w:val="24"/>
              </w:rPr>
            </w:pPr>
            <w:r>
              <w:rPr>
                <w:rFonts w:hint="eastAsia"/>
                <w:lang w:val="en-US" w:eastAsia="zh-CN"/>
              </w:rPr>
              <w:t>——管理评审</w:t>
            </w:r>
            <w:r>
              <w:rPr>
                <w:rFonts w:hint="eastAsia" w:ascii="黑体" w:hAnsi="黑体" w:eastAsia="黑体" w:cs="黑体"/>
                <w:color w:val="000000"/>
                <w:sz w:val="24"/>
              </w:rPr>
              <w:t>纠正措施：</w:t>
            </w:r>
            <w:r>
              <w:rPr>
                <w:rFonts w:hint="eastAsia" w:ascii="黑体" w:hAnsi="黑体" w:eastAsia="黑体" w:cs="黑体"/>
                <w:color w:val="000000"/>
                <w:sz w:val="24"/>
                <w:lang w:val="en-US" w:eastAsia="zh-CN"/>
              </w:rPr>
              <w:t>实施及验证时间均为</w:t>
            </w:r>
            <w:r>
              <w:rPr>
                <w:rFonts w:hint="eastAsia" w:ascii="黑体" w:hAnsi="黑体" w:eastAsia="黑体" w:cs="黑体"/>
                <w:color w:val="000000"/>
                <w:sz w:val="24"/>
              </w:rPr>
              <w:t>验证人：</w:t>
            </w:r>
            <w:r>
              <w:rPr>
                <w:rFonts w:hint="eastAsia" w:ascii="黑体" w:hAnsi="黑体" w:eastAsia="黑体" w:cs="黑体"/>
                <w:color w:val="000000"/>
                <w:sz w:val="24"/>
                <w:lang w:eastAsia="zh-CN"/>
              </w:rPr>
              <w:t>李少飞</w:t>
            </w:r>
            <w:r>
              <w:rPr>
                <w:rFonts w:hint="eastAsia" w:ascii="黑体" w:hAnsi="黑体" w:eastAsia="黑体" w:cs="黑体"/>
                <w:color w:val="000000"/>
                <w:sz w:val="24"/>
              </w:rPr>
              <w:t>/</w:t>
            </w:r>
            <w:r>
              <w:rPr>
                <w:rFonts w:hint="eastAsia" w:ascii="黑体" w:hAnsi="黑体" w:eastAsia="黑体" w:cs="黑体"/>
                <w:color w:val="000000"/>
                <w:sz w:val="24"/>
                <w:lang w:eastAsia="zh-CN"/>
              </w:rPr>
              <w:t>2022</w:t>
            </w:r>
            <w:r>
              <w:rPr>
                <w:rFonts w:hint="eastAsia" w:ascii="黑体" w:hAnsi="黑体" w:eastAsia="黑体" w:cs="黑体"/>
                <w:color w:val="000000"/>
                <w:sz w:val="24"/>
              </w:rPr>
              <w:t>-</w:t>
            </w:r>
            <w:r>
              <w:rPr>
                <w:rFonts w:ascii="黑体" w:hAnsi="黑体" w:eastAsia="黑体" w:cs="黑体"/>
                <w:color w:val="000000"/>
                <w:sz w:val="24"/>
              </w:rPr>
              <w:t>10</w:t>
            </w:r>
            <w:r>
              <w:rPr>
                <w:rFonts w:hint="eastAsia" w:ascii="黑体" w:hAnsi="黑体" w:eastAsia="黑体" w:cs="黑体"/>
                <w:color w:val="000000"/>
                <w:sz w:val="24"/>
              </w:rPr>
              <w:t>-</w:t>
            </w:r>
            <w:r>
              <w:rPr>
                <w:rFonts w:ascii="黑体" w:hAnsi="黑体" w:eastAsia="黑体" w:cs="黑体"/>
                <w:color w:val="000000"/>
                <w:sz w:val="24"/>
              </w:rPr>
              <w:t>25</w:t>
            </w:r>
          </w:p>
          <w:p>
            <w:pPr>
              <w:spacing w:line="360" w:lineRule="auto"/>
              <w:rPr>
                <w:rFonts w:hint="eastAsia" w:ascii="黑体" w:hAnsi="黑体" w:eastAsia="黑体" w:cs="黑体"/>
                <w:sz w:val="24"/>
              </w:rPr>
            </w:pPr>
            <w:r>
              <w:rPr>
                <w:rFonts w:hint="eastAsia" w:eastAsia="黑体"/>
                <w:lang w:val="en-US" w:eastAsia="zh-CN"/>
              </w:rPr>
              <w:t>——</w:t>
            </w:r>
            <w:r>
              <w:rPr>
                <w:rFonts w:hint="eastAsia" w:ascii="黑体" w:hAnsi="黑体" w:eastAsia="黑体"/>
                <w:b/>
                <w:sz w:val="24"/>
                <w:lang w:eastAsia="zh-CN"/>
              </w:rPr>
              <w:t>综合办公室</w:t>
            </w:r>
            <w:r>
              <w:rPr>
                <w:rFonts w:hint="eastAsia" w:ascii="黑体" w:hAnsi="黑体" w:eastAsia="黑体"/>
                <w:sz w:val="24"/>
              </w:rPr>
              <w:t>已将文件进行了分类，按记录的名称、编号及时间装文件袋进行归档，记录清洁，字迹清晰，检索方便，抽查（</w:t>
            </w:r>
            <w:r>
              <w:rPr>
                <w:rFonts w:hint="eastAsia" w:ascii="黑体" w:hAnsi="黑体" w:eastAsia="黑体"/>
                <w:sz w:val="24"/>
                <w:lang w:eastAsia="zh-CN"/>
              </w:rPr>
              <w:t>2022</w:t>
            </w:r>
            <w:r>
              <w:rPr>
                <w:rFonts w:hint="eastAsia" w:ascii="黑体" w:hAnsi="黑体" w:eastAsia="黑体"/>
                <w:sz w:val="24"/>
              </w:rPr>
              <w:t>-</w:t>
            </w:r>
            <w:r>
              <w:rPr>
                <w:rFonts w:ascii="黑体" w:hAnsi="黑体" w:eastAsia="黑体"/>
                <w:sz w:val="24"/>
              </w:rPr>
              <w:t>08</w:t>
            </w:r>
            <w:r>
              <w:rPr>
                <w:rFonts w:hint="eastAsia" w:ascii="黑体" w:hAnsi="黑体" w:eastAsia="黑体"/>
                <w:sz w:val="24"/>
              </w:rPr>
              <w:t>-06）：内部审核资料</w:t>
            </w:r>
            <w:r>
              <w:rPr>
                <w:rFonts w:hint="eastAsia" w:ascii="黑体" w:hAnsi="黑体" w:eastAsia="黑体"/>
                <w:sz w:val="24"/>
                <w:lang w:eastAsia="zh-CN"/>
              </w:rPr>
              <w:t>；</w:t>
            </w:r>
            <w:r>
              <w:rPr>
                <w:rFonts w:hint="eastAsia" w:ascii="黑体" w:hAnsi="黑体" w:eastAsia="黑体"/>
                <w:color w:val="000000"/>
                <w:sz w:val="24"/>
              </w:rPr>
              <w:t>抽查</w:t>
            </w:r>
            <w:r>
              <w:rPr>
                <w:rFonts w:hint="eastAsia" w:ascii="黑体" w:hAnsi="黑体" w:eastAsia="黑体"/>
                <w:color w:val="000000"/>
                <w:sz w:val="24"/>
                <w:lang w:eastAsia="zh-CN"/>
              </w:rPr>
              <w:t>2022</w:t>
            </w:r>
            <w:r>
              <w:rPr>
                <w:rFonts w:hint="eastAsia" w:ascii="黑体" w:hAnsi="黑体" w:eastAsia="黑体"/>
                <w:color w:val="000000"/>
                <w:sz w:val="24"/>
              </w:rPr>
              <w:t>年</w:t>
            </w:r>
            <w:r>
              <w:rPr>
                <w:rFonts w:ascii="黑体" w:hAnsi="黑体" w:eastAsia="黑体"/>
                <w:color w:val="000000"/>
                <w:sz w:val="24"/>
              </w:rPr>
              <w:t>8</w:t>
            </w:r>
            <w:r>
              <w:rPr>
                <w:rFonts w:hint="eastAsia" w:ascii="黑体" w:hAnsi="黑体" w:eastAsia="黑体"/>
                <w:color w:val="000000"/>
                <w:sz w:val="24"/>
              </w:rPr>
              <w:t>月员工调查表</w:t>
            </w:r>
            <w:r>
              <w:rPr>
                <w:rFonts w:ascii="黑体" w:hAnsi="黑体" w:eastAsia="黑体"/>
                <w:color w:val="000000"/>
                <w:sz w:val="24"/>
              </w:rPr>
              <w:t>3</w:t>
            </w:r>
            <w:r>
              <w:rPr>
                <w:rFonts w:hint="eastAsia" w:ascii="黑体" w:hAnsi="黑体" w:eastAsia="黑体"/>
                <w:color w:val="000000"/>
                <w:sz w:val="24"/>
              </w:rPr>
              <w:t>份，提供了</w:t>
            </w:r>
            <w:r>
              <w:rPr>
                <w:rFonts w:hint="eastAsia" w:ascii="黑体" w:hAnsi="黑体" w:eastAsia="黑体"/>
                <w:color w:val="000000"/>
                <w:sz w:val="24"/>
                <w:lang w:eastAsia="zh-CN"/>
              </w:rPr>
              <w:t>2022</w:t>
            </w:r>
            <w:r>
              <w:rPr>
                <w:rFonts w:hint="eastAsia" w:ascii="黑体" w:hAnsi="黑体" w:eastAsia="黑体"/>
                <w:color w:val="000000"/>
                <w:sz w:val="24"/>
              </w:rPr>
              <w:t>年</w:t>
            </w:r>
            <w:r>
              <w:rPr>
                <w:rFonts w:ascii="黑体" w:hAnsi="黑体" w:eastAsia="黑体"/>
                <w:color w:val="000000"/>
                <w:sz w:val="24"/>
              </w:rPr>
              <w:t>7</w:t>
            </w:r>
            <w:r>
              <w:rPr>
                <w:rFonts w:hint="eastAsia" w:ascii="黑体" w:hAnsi="黑体" w:eastAsia="黑体"/>
                <w:color w:val="000000"/>
                <w:sz w:val="24"/>
              </w:rPr>
              <w:t>-</w:t>
            </w:r>
            <w:r>
              <w:rPr>
                <w:rFonts w:hint="eastAsia" w:ascii="黑体" w:hAnsi="黑体" w:eastAsia="黑体"/>
                <w:color w:val="000000"/>
                <w:sz w:val="24"/>
                <w:lang w:eastAsia="zh-CN"/>
              </w:rPr>
              <w:t>2022</w:t>
            </w:r>
            <w:r>
              <w:rPr>
                <w:rFonts w:hint="eastAsia" w:ascii="黑体" w:hAnsi="黑体" w:eastAsia="黑体"/>
                <w:color w:val="000000"/>
                <w:sz w:val="24"/>
              </w:rPr>
              <w:t>年9月的《水、电消耗记录表》</w:t>
            </w:r>
            <w:r>
              <w:rPr>
                <w:rFonts w:hint="eastAsia" w:ascii="黑体" w:hAnsi="黑体" w:eastAsia="黑体"/>
                <w:color w:val="000000"/>
                <w:sz w:val="24"/>
                <w:lang w:eastAsia="zh-CN"/>
              </w:rPr>
              <w:t>；</w:t>
            </w:r>
            <w:r>
              <w:rPr>
                <w:rFonts w:hint="eastAsia" w:ascii="黑体" w:hAnsi="黑体" w:eastAsia="黑体" w:cs="黑体"/>
                <w:sz w:val="24"/>
                <w:szCs w:val="20"/>
              </w:rPr>
              <w:t>公司于</w:t>
            </w:r>
            <w:r>
              <w:rPr>
                <w:rFonts w:hint="eastAsia" w:ascii="黑体" w:hAnsi="黑体" w:eastAsia="黑体" w:cs="黑体"/>
                <w:sz w:val="24"/>
                <w:szCs w:val="20"/>
                <w:lang w:eastAsia="zh-CN"/>
              </w:rPr>
              <w:t>2022</w:t>
            </w:r>
            <w:r>
              <w:rPr>
                <w:rFonts w:hint="eastAsia" w:ascii="黑体" w:hAnsi="黑体" w:eastAsia="黑体" w:cs="黑体"/>
                <w:sz w:val="24"/>
                <w:szCs w:val="20"/>
              </w:rPr>
              <w:t>年</w:t>
            </w:r>
            <w:r>
              <w:rPr>
                <w:rFonts w:ascii="黑体" w:hAnsi="黑体" w:eastAsia="黑体" w:cs="黑体"/>
                <w:sz w:val="24"/>
                <w:szCs w:val="20"/>
              </w:rPr>
              <w:t>9</w:t>
            </w:r>
            <w:r>
              <w:rPr>
                <w:rFonts w:hint="eastAsia" w:ascii="黑体" w:hAnsi="黑体" w:eastAsia="黑体" w:cs="黑体"/>
                <w:sz w:val="24"/>
                <w:szCs w:val="20"/>
              </w:rPr>
              <w:t>月20日实施了一次火灾消防应急演练，公司参加人员有10余人</w:t>
            </w:r>
            <w:r>
              <w:rPr>
                <w:rFonts w:hint="eastAsia" w:ascii="黑体" w:hAnsi="黑体" w:eastAsia="黑体" w:cs="黑体"/>
                <w:sz w:val="24"/>
                <w:szCs w:val="20"/>
                <w:lang w:eastAsia="zh-CN"/>
              </w:rPr>
              <w:t>。</w:t>
            </w:r>
            <w:r>
              <w:rPr>
                <w:rFonts w:hint="eastAsia" w:ascii="黑体" w:hAnsi="黑体" w:eastAsia="黑体" w:cs="黑体"/>
                <w:sz w:val="24"/>
              </w:rPr>
              <w:t>抽查：</w:t>
            </w:r>
            <w:r>
              <w:rPr>
                <w:rFonts w:hint="eastAsia" w:ascii="黑体" w:hAnsi="黑体" w:eastAsia="黑体" w:cs="黑体"/>
                <w:sz w:val="24"/>
                <w:lang w:eastAsia="zh-CN"/>
              </w:rPr>
              <w:t>2022</w:t>
            </w:r>
            <w:r>
              <w:rPr>
                <w:rFonts w:hint="eastAsia" w:ascii="黑体" w:hAnsi="黑体" w:eastAsia="黑体" w:cs="黑体"/>
                <w:sz w:val="24"/>
              </w:rPr>
              <w:t>-0</w:t>
            </w:r>
            <w:r>
              <w:rPr>
                <w:rFonts w:ascii="黑体" w:hAnsi="黑体" w:eastAsia="黑体" w:cs="黑体"/>
                <w:sz w:val="24"/>
              </w:rPr>
              <w:t>8</w:t>
            </w:r>
            <w:r>
              <w:rPr>
                <w:rFonts w:hint="eastAsia" w:ascii="黑体" w:hAnsi="黑体" w:eastAsia="黑体" w:cs="黑体"/>
                <w:sz w:val="24"/>
              </w:rPr>
              <w:t>的《服务规范检查》，均符合要求。</w:t>
            </w:r>
          </w:p>
          <w:p>
            <w:pPr>
              <w:spacing w:line="320" w:lineRule="exact"/>
              <w:rPr>
                <w:rFonts w:hint="eastAsia" w:eastAsia="黑体"/>
                <w:lang w:val="en-US" w:eastAsia="zh-CN"/>
              </w:rPr>
            </w:pPr>
          </w:p>
          <w:p>
            <w:pPr>
              <w:pStyle w:val="2"/>
              <w:rPr>
                <w:rFonts w:hint="default" w:ascii="黑体" w:hAnsi="黑体" w:eastAsia="黑体" w:cs="黑体"/>
                <w:color w:val="000000"/>
                <w:sz w:val="24"/>
                <w:lang w:val="en-US" w:eastAsia="zh-CN"/>
              </w:rPr>
            </w:pPr>
          </w:p>
          <w:p>
            <w:pPr>
              <w:pStyle w:val="2"/>
              <w:rPr>
                <w:rFonts w:hint="default" w:eastAsia="宋体"/>
                <w:sz w:val="24"/>
                <w:szCs w:val="24"/>
                <w:lang w:val="en-US" w:eastAsia="zh-CN"/>
              </w:rPr>
            </w:pPr>
            <w:r>
              <w:rPr>
                <w:rFonts w:hint="eastAsia"/>
              </w:rPr>
              <w:t>——</w:t>
            </w:r>
            <w:r>
              <w:rPr>
                <w:rFonts w:hint="eastAsia"/>
                <w:color w:val="FF0000"/>
                <w:lang w:val="en-US" w:eastAsia="zh-CN"/>
              </w:rPr>
              <w:t>不</w:t>
            </w:r>
            <w:r>
              <w:rPr>
                <w:rFonts w:hint="eastAsia"/>
                <w:color w:val="FF0000"/>
              </w:rPr>
              <w:t>符合</w:t>
            </w:r>
            <w:r>
              <w:rPr>
                <w:rFonts w:hint="eastAsia"/>
                <w:color w:val="FF0000"/>
                <w:lang w:eastAsia="zh-CN"/>
              </w:rPr>
              <w:t>：</w:t>
            </w:r>
            <w:r>
              <w:rPr>
                <w:rFonts w:hint="eastAsia"/>
                <w:color w:val="FF0000"/>
                <w:lang w:val="en-US" w:eastAsia="zh-CN"/>
              </w:rPr>
              <w:t>内审时间逻辑混乱，未见内审人员资质证明及手写签到表。</w:t>
            </w:r>
          </w:p>
        </w:tc>
        <w:tc>
          <w:tcPr>
            <w:tcW w:w="1585" w:type="dxa"/>
          </w:tcPr>
          <w:p>
            <w:pPr>
              <w:spacing w:line="240" w:lineRule="auto"/>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rFonts w:hint="default" w:eastAsia="宋体"/>
                <w:sz w:val="24"/>
                <w:szCs w:val="24"/>
                <w:lang w:val="en-US" w:eastAsia="zh-CN"/>
              </w:rPr>
            </w:pPr>
            <w:r>
              <w:rPr>
                <w:rFonts w:hint="eastAsia"/>
                <w:color w:val="FF0000"/>
                <w:sz w:val="24"/>
                <w:szCs w:val="24"/>
                <w:lang w:val="en-US" w:eastAsia="zh-CN"/>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default" w:cs="Arial" w:asciiTheme="minorEastAsia" w:hAnsiTheme="minorEastAsia" w:eastAsiaTheme="minorEastAsia"/>
                <w:color w:val="000000" w:themeColor="text1"/>
                <w:sz w:val="24"/>
                <w:szCs w:val="24"/>
                <w:lang w:val="en-US" w:eastAsia="zh-CN"/>
              </w:rPr>
            </w:pPr>
            <w:r>
              <w:rPr>
                <w:rFonts w:hint="eastAsia" w:cs="Arial" w:asciiTheme="minorEastAsia" w:hAnsiTheme="minorEastAsia" w:eastAsiaTheme="minorEastAsia"/>
                <w:color w:val="000000" w:themeColor="text1"/>
                <w:sz w:val="24"/>
                <w:szCs w:val="24"/>
                <w:lang w:val="en-US" w:eastAsia="zh-CN"/>
              </w:rPr>
              <w:t>绩效监视测量评价及改进</w:t>
            </w:r>
          </w:p>
        </w:tc>
        <w:tc>
          <w:tcPr>
            <w:tcW w:w="960" w:type="dxa"/>
          </w:tcPr>
          <w:p>
            <w:pPr>
              <w:spacing w:line="240" w:lineRule="auto"/>
              <w:rPr>
                <w:rFonts w:hint="eastAsia"/>
                <w:lang w:val="en-US" w:eastAsia="zh-CN"/>
              </w:rPr>
            </w:pPr>
            <w:r>
              <w:rPr>
                <w:rFonts w:hint="eastAsia"/>
                <w:lang w:val="en-US" w:eastAsia="zh-CN"/>
              </w:rPr>
              <w:t>QES9.1.1/10.2;</w:t>
            </w:r>
          </w:p>
          <w:p>
            <w:pPr>
              <w:pStyle w:val="2"/>
              <w:rPr>
                <w:rFonts w:hint="default"/>
                <w:lang w:val="en-US" w:eastAsia="zh-CN"/>
              </w:rPr>
            </w:pPr>
            <w:r>
              <w:rPr>
                <w:rFonts w:hint="eastAsia"/>
                <w:sz w:val="24"/>
                <w:szCs w:val="24"/>
                <w:lang w:val="en-US" w:eastAsia="zh-CN"/>
              </w:rPr>
              <w:t>Q9.1.3</w:t>
            </w:r>
          </w:p>
        </w:tc>
        <w:tc>
          <w:tcPr>
            <w:tcW w:w="10004" w:type="dxa"/>
          </w:tcPr>
          <w:p>
            <w:pPr>
              <w:spacing w:line="240" w:lineRule="auto"/>
              <w:jc w:val="left"/>
              <w:rPr>
                <w:rFonts w:hint="default"/>
                <w:sz w:val="24"/>
                <w:szCs w:val="24"/>
                <w:lang w:val="en-US" w:eastAsia="zh-CN"/>
              </w:rPr>
            </w:pPr>
            <w:r>
              <w:rPr>
                <w:rFonts w:hint="eastAsia"/>
                <w:sz w:val="24"/>
                <w:szCs w:val="24"/>
                <w:lang w:val="en-US" w:eastAsia="zh-CN"/>
              </w:rPr>
              <w:t>1、在公司及部门层面全面实施目标考核机制，针对周期性目标考核结果进行改进实施。</w:t>
            </w:r>
          </w:p>
          <w:p>
            <w:pPr>
              <w:spacing w:line="240" w:lineRule="auto"/>
              <w:jc w:val="left"/>
              <w:rPr>
                <w:rFonts w:hint="default"/>
                <w:sz w:val="24"/>
                <w:szCs w:val="24"/>
                <w:lang w:val="en-US" w:eastAsia="zh-CN"/>
              </w:rPr>
            </w:pPr>
            <w:r>
              <w:rPr>
                <w:rFonts w:hint="eastAsia"/>
                <w:sz w:val="24"/>
                <w:szCs w:val="24"/>
                <w:lang w:val="en-US" w:eastAsia="zh-CN"/>
              </w:rPr>
              <w:t>2、针对潜在的紧急情况造成的环境和职业健康安全风险，组织制定了有效的应急预案，并适时安排演练验证，以确定其适宜性和有效性，提升全员应急反应能力。</w:t>
            </w:r>
          </w:p>
          <w:p>
            <w:pPr>
              <w:spacing w:line="240" w:lineRule="auto"/>
              <w:jc w:val="left"/>
              <w:rPr>
                <w:rFonts w:hint="default"/>
                <w:sz w:val="24"/>
                <w:szCs w:val="24"/>
                <w:lang w:val="en-US" w:eastAsia="zh-CN"/>
              </w:rPr>
            </w:pPr>
            <w:r>
              <w:rPr>
                <w:rFonts w:hint="eastAsia"/>
                <w:sz w:val="24"/>
                <w:szCs w:val="24"/>
                <w:lang w:val="en-US" w:eastAsia="zh-CN"/>
              </w:rPr>
              <w:t>3、针对年度内审发现的不符合项实施了原因分析制定纠正措施并跟踪整改验证；针对年度管理评审和公司重大会议等活动信息进行综合分析评价，形成必要的改进决策。</w:t>
            </w:r>
          </w:p>
          <w:p>
            <w:pPr>
              <w:spacing w:line="240" w:lineRule="auto"/>
              <w:jc w:val="left"/>
              <w:rPr>
                <w:rFonts w:hint="eastAsia"/>
                <w:sz w:val="24"/>
                <w:szCs w:val="24"/>
                <w:lang w:val="en-US" w:eastAsia="zh-CN"/>
              </w:rPr>
            </w:pPr>
            <w:r>
              <w:rPr>
                <w:rFonts w:hint="eastAsia"/>
                <w:sz w:val="24"/>
                <w:szCs w:val="24"/>
                <w:lang w:val="en-US" w:eastAsia="zh-CN"/>
              </w:rPr>
              <w:t>4、在日常业务运行中，组织各部门收集、统计贯标记录及QMS/EMS/OHSMS/HSE相关记录信息，运用统计技术进行数据分析，寻找改进机会。</w:t>
            </w:r>
          </w:p>
          <w:p>
            <w:pPr>
              <w:spacing w:line="240" w:lineRule="auto"/>
              <w:jc w:val="left"/>
              <w:rPr>
                <w:rFonts w:hint="eastAsia"/>
                <w:sz w:val="24"/>
                <w:szCs w:val="24"/>
                <w:lang w:val="en-US" w:eastAsia="zh-CN"/>
              </w:rPr>
            </w:pPr>
            <w:r>
              <w:rPr>
                <w:rFonts w:hint="eastAsia"/>
                <w:sz w:val="24"/>
                <w:szCs w:val="24"/>
                <w:lang w:val="en-US" w:eastAsia="zh-CN"/>
              </w:rPr>
              <w:t>5、负责人介绍，贯标期内无客户投诉、媒体曝光、环保、安全事件；通过国家企业信用信息公示系统查询，无行政处罚、异常经营等信息。</w:t>
            </w:r>
          </w:p>
          <w:p>
            <w:pPr>
              <w:spacing w:line="240" w:lineRule="auto"/>
              <w:rPr>
                <w:rFonts w:hint="eastAsia"/>
                <w:sz w:val="24"/>
                <w:szCs w:val="24"/>
                <w:lang w:val="en-US" w:eastAsia="zh-CN"/>
              </w:rPr>
            </w:pPr>
            <w:r>
              <w:rPr>
                <w:rFonts w:hint="eastAsia"/>
                <w:sz w:val="24"/>
                <w:szCs w:val="24"/>
                <w:lang w:val="en-US" w:eastAsia="zh-CN"/>
              </w:rPr>
              <w:t>——上述这些均在相应的过程审核中提供有实施证据，证实了该组织改进机制的建设基本有效。</w:t>
            </w:r>
          </w:p>
          <w:p>
            <w:pPr>
              <w:pStyle w:val="4"/>
              <w:spacing w:line="240" w:lineRule="auto"/>
              <w:rPr>
                <w:rFonts w:hint="eastAsia"/>
                <w:sz w:val="24"/>
                <w:szCs w:val="24"/>
                <w:lang w:val="en-US" w:eastAsia="zh-CN"/>
              </w:rPr>
            </w:pP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D9ECE"/>
    <w:multiLevelType w:val="singleLevel"/>
    <w:tmpl w:val="A31D9ECE"/>
    <w:lvl w:ilvl="0" w:tentative="0">
      <w:start w:val="1"/>
      <w:numFmt w:val="decimal"/>
      <w:suff w:val="nothing"/>
      <w:lvlText w:val="%1、"/>
      <w:lvlJc w:val="left"/>
    </w:lvl>
  </w:abstractNum>
  <w:abstractNum w:abstractNumId="1">
    <w:nsid w:val="1F3A6B2C"/>
    <w:multiLevelType w:val="singleLevel"/>
    <w:tmpl w:val="1F3A6B2C"/>
    <w:lvl w:ilvl="0" w:tentative="0">
      <w:start w:val="6"/>
      <w:numFmt w:val="decimal"/>
      <w:suff w:val="nothing"/>
      <w:lvlText w:val="%1、"/>
      <w:lvlJc w:val="left"/>
    </w:lvl>
  </w:abstractNum>
  <w:abstractNum w:abstractNumId="2">
    <w:nsid w:val="59F02D1B"/>
    <w:multiLevelType w:val="multilevel"/>
    <w:tmpl w:val="59F02D1B"/>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5A8E2D40"/>
    <w:multiLevelType w:val="singleLevel"/>
    <w:tmpl w:val="5A8E2D40"/>
    <w:lvl w:ilvl="0" w:tentative="0">
      <w:start w:val="1"/>
      <w:numFmt w:val="decimal"/>
      <w:lvlText w:val="%1."/>
      <w:lvlJc w:val="left"/>
      <w:pPr>
        <w:ind w:left="635" w:hanging="425"/>
      </w:pPr>
      <w:rPr>
        <w:rFonts w:hint="default"/>
      </w:rPr>
    </w:lvl>
  </w:abstractNum>
  <w:abstractNum w:abstractNumId="4">
    <w:nsid w:val="5A8E3277"/>
    <w:multiLevelType w:val="singleLevel"/>
    <w:tmpl w:val="5A8E3277"/>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000000"/>
    <w:rsid w:val="0085233C"/>
    <w:rsid w:val="008A4A2B"/>
    <w:rsid w:val="01D76EAA"/>
    <w:rsid w:val="01E0373D"/>
    <w:rsid w:val="01F64672"/>
    <w:rsid w:val="024907D5"/>
    <w:rsid w:val="02C23ACE"/>
    <w:rsid w:val="03704038"/>
    <w:rsid w:val="040B7A05"/>
    <w:rsid w:val="04DF7CDC"/>
    <w:rsid w:val="05AD7DDA"/>
    <w:rsid w:val="05EF33F9"/>
    <w:rsid w:val="06586D27"/>
    <w:rsid w:val="06C10465"/>
    <w:rsid w:val="06D575E9"/>
    <w:rsid w:val="0778608B"/>
    <w:rsid w:val="07E1592F"/>
    <w:rsid w:val="08C33C48"/>
    <w:rsid w:val="0A2C0468"/>
    <w:rsid w:val="0AF02C43"/>
    <w:rsid w:val="0B7928A6"/>
    <w:rsid w:val="0B8610A9"/>
    <w:rsid w:val="0C662FDC"/>
    <w:rsid w:val="0CF97A7F"/>
    <w:rsid w:val="0D2C3CDA"/>
    <w:rsid w:val="0D7161F6"/>
    <w:rsid w:val="0DD84DEE"/>
    <w:rsid w:val="0E870799"/>
    <w:rsid w:val="0EBC717E"/>
    <w:rsid w:val="0EBE5B82"/>
    <w:rsid w:val="0EEF3211"/>
    <w:rsid w:val="0F8409BF"/>
    <w:rsid w:val="0FC65D20"/>
    <w:rsid w:val="107777F0"/>
    <w:rsid w:val="118F1A3C"/>
    <w:rsid w:val="12CB18A0"/>
    <w:rsid w:val="138C0328"/>
    <w:rsid w:val="13D93823"/>
    <w:rsid w:val="14956D28"/>
    <w:rsid w:val="151B6D4C"/>
    <w:rsid w:val="15A67815"/>
    <w:rsid w:val="16573B76"/>
    <w:rsid w:val="16614A69"/>
    <w:rsid w:val="16D20CAA"/>
    <w:rsid w:val="184B6451"/>
    <w:rsid w:val="185F4F64"/>
    <w:rsid w:val="18A01C22"/>
    <w:rsid w:val="18B560F0"/>
    <w:rsid w:val="193109E6"/>
    <w:rsid w:val="1B070D12"/>
    <w:rsid w:val="1B692026"/>
    <w:rsid w:val="1C834BAC"/>
    <w:rsid w:val="1C9B6CC4"/>
    <w:rsid w:val="1CA46F07"/>
    <w:rsid w:val="1DBC2B8F"/>
    <w:rsid w:val="1E481DD9"/>
    <w:rsid w:val="1E6A60C1"/>
    <w:rsid w:val="1FD2457D"/>
    <w:rsid w:val="1FF667D4"/>
    <w:rsid w:val="20A51982"/>
    <w:rsid w:val="20B028B9"/>
    <w:rsid w:val="20D858B3"/>
    <w:rsid w:val="210E5779"/>
    <w:rsid w:val="21141013"/>
    <w:rsid w:val="211F34E2"/>
    <w:rsid w:val="21357E35"/>
    <w:rsid w:val="22C47DF9"/>
    <w:rsid w:val="22FF0613"/>
    <w:rsid w:val="23400177"/>
    <w:rsid w:val="2355143D"/>
    <w:rsid w:val="238B1303"/>
    <w:rsid w:val="24625F84"/>
    <w:rsid w:val="250C029D"/>
    <w:rsid w:val="25F82554"/>
    <w:rsid w:val="2648415C"/>
    <w:rsid w:val="26695200"/>
    <w:rsid w:val="26A84B08"/>
    <w:rsid w:val="26AE372D"/>
    <w:rsid w:val="26E86A6C"/>
    <w:rsid w:val="27EE054A"/>
    <w:rsid w:val="28687E52"/>
    <w:rsid w:val="287E1436"/>
    <w:rsid w:val="28EB297B"/>
    <w:rsid w:val="2A103ADC"/>
    <w:rsid w:val="2A2F1609"/>
    <w:rsid w:val="2AC60E73"/>
    <w:rsid w:val="2B0C0D8C"/>
    <w:rsid w:val="2B1C518D"/>
    <w:rsid w:val="2B7E0E04"/>
    <w:rsid w:val="2BA53A40"/>
    <w:rsid w:val="2C5C2DE6"/>
    <w:rsid w:val="2C8507CD"/>
    <w:rsid w:val="2C9760EB"/>
    <w:rsid w:val="2C9E20A7"/>
    <w:rsid w:val="2D5F5FBC"/>
    <w:rsid w:val="2DD40420"/>
    <w:rsid w:val="2DF53F49"/>
    <w:rsid w:val="2E635F37"/>
    <w:rsid w:val="2E8D5E2B"/>
    <w:rsid w:val="2F2969EB"/>
    <w:rsid w:val="30191A45"/>
    <w:rsid w:val="301F4798"/>
    <w:rsid w:val="303C6265"/>
    <w:rsid w:val="30D4212B"/>
    <w:rsid w:val="31A24094"/>
    <w:rsid w:val="31D24E54"/>
    <w:rsid w:val="324C2C78"/>
    <w:rsid w:val="33242BDA"/>
    <w:rsid w:val="3324544E"/>
    <w:rsid w:val="33811DDB"/>
    <w:rsid w:val="34F11FED"/>
    <w:rsid w:val="35550998"/>
    <w:rsid w:val="36195A51"/>
    <w:rsid w:val="364376FA"/>
    <w:rsid w:val="36624145"/>
    <w:rsid w:val="369F0449"/>
    <w:rsid w:val="389E5B30"/>
    <w:rsid w:val="39776DA8"/>
    <w:rsid w:val="398616DE"/>
    <w:rsid w:val="39E01C27"/>
    <w:rsid w:val="3A2B0CF2"/>
    <w:rsid w:val="3B81506E"/>
    <w:rsid w:val="3B867C0B"/>
    <w:rsid w:val="3C3B3EAF"/>
    <w:rsid w:val="3D087121"/>
    <w:rsid w:val="3DEE695E"/>
    <w:rsid w:val="3E2451DD"/>
    <w:rsid w:val="3EFB6EE5"/>
    <w:rsid w:val="3FF02444"/>
    <w:rsid w:val="405113F8"/>
    <w:rsid w:val="405200C8"/>
    <w:rsid w:val="40977C2D"/>
    <w:rsid w:val="40CE3797"/>
    <w:rsid w:val="41225C05"/>
    <w:rsid w:val="41612725"/>
    <w:rsid w:val="420662CD"/>
    <w:rsid w:val="432B268D"/>
    <w:rsid w:val="43CC70A2"/>
    <w:rsid w:val="44AD4BCF"/>
    <w:rsid w:val="451675BC"/>
    <w:rsid w:val="45B11812"/>
    <w:rsid w:val="46310FF9"/>
    <w:rsid w:val="47460F19"/>
    <w:rsid w:val="4751305A"/>
    <w:rsid w:val="47DB4C65"/>
    <w:rsid w:val="48376AB4"/>
    <w:rsid w:val="48E20F5B"/>
    <w:rsid w:val="490746D8"/>
    <w:rsid w:val="493E3092"/>
    <w:rsid w:val="49C81C92"/>
    <w:rsid w:val="49CA233A"/>
    <w:rsid w:val="4B1C1CAE"/>
    <w:rsid w:val="4B895879"/>
    <w:rsid w:val="4BBE132D"/>
    <w:rsid w:val="4BCE3AD9"/>
    <w:rsid w:val="4C416153"/>
    <w:rsid w:val="4E3D3299"/>
    <w:rsid w:val="4EBB48DA"/>
    <w:rsid w:val="4F207259"/>
    <w:rsid w:val="50394E2D"/>
    <w:rsid w:val="505C3E8B"/>
    <w:rsid w:val="50D133DB"/>
    <w:rsid w:val="51741B9B"/>
    <w:rsid w:val="51EE28D9"/>
    <w:rsid w:val="523919CF"/>
    <w:rsid w:val="52534FC4"/>
    <w:rsid w:val="537565C2"/>
    <w:rsid w:val="53774AC0"/>
    <w:rsid w:val="5486504B"/>
    <w:rsid w:val="549E4143"/>
    <w:rsid w:val="54AA68C3"/>
    <w:rsid w:val="550567EF"/>
    <w:rsid w:val="558E6F87"/>
    <w:rsid w:val="56497FC2"/>
    <w:rsid w:val="569B677E"/>
    <w:rsid w:val="57D2340E"/>
    <w:rsid w:val="580615B7"/>
    <w:rsid w:val="581A3D58"/>
    <w:rsid w:val="582B03E3"/>
    <w:rsid w:val="586A45B5"/>
    <w:rsid w:val="59ED28F2"/>
    <w:rsid w:val="59FC7EEE"/>
    <w:rsid w:val="5A8A1C6E"/>
    <w:rsid w:val="5ACE5056"/>
    <w:rsid w:val="5ACF6E2F"/>
    <w:rsid w:val="5B4B2B4A"/>
    <w:rsid w:val="5B79474B"/>
    <w:rsid w:val="5C0D467E"/>
    <w:rsid w:val="5D716D1A"/>
    <w:rsid w:val="5DAF4C1B"/>
    <w:rsid w:val="5E1216FE"/>
    <w:rsid w:val="5E81378D"/>
    <w:rsid w:val="5E9115EC"/>
    <w:rsid w:val="5ED05F26"/>
    <w:rsid w:val="5F0F1B3E"/>
    <w:rsid w:val="5F997C17"/>
    <w:rsid w:val="608E6815"/>
    <w:rsid w:val="60A2730C"/>
    <w:rsid w:val="61E93A99"/>
    <w:rsid w:val="62072F09"/>
    <w:rsid w:val="629D354D"/>
    <w:rsid w:val="6441547F"/>
    <w:rsid w:val="64D94857"/>
    <w:rsid w:val="65A60E34"/>
    <w:rsid w:val="66401EF8"/>
    <w:rsid w:val="66911D59"/>
    <w:rsid w:val="66B0502C"/>
    <w:rsid w:val="68BD44C2"/>
    <w:rsid w:val="692F552A"/>
    <w:rsid w:val="69B0689E"/>
    <w:rsid w:val="6A9C2B6B"/>
    <w:rsid w:val="6B752677"/>
    <w:rsid w:val="6C1A3D88"/>
    <w:rsid w:val="6CA90308"/>
    <w:rsid w:val="6DA20D0C"/>
    <w:rsid w:val="6F1C19E6"/>
    <w:rsid w:val="6F3B2FB3"/>
    <w:rsid w:val="6F97380F"/>
    <w:rsid w:val="6FF61065"/>
    <w:rsid w:val="71FB1F1C"/>
    <w:rsid w:val="72ED22A0"/>
    <w:rsid w:val="73B12A87"/>
    <w:rsid w:val="73ED03C4"/>
    <w:rsid w:val="742355AA"/>
    <w:rsid w:val="74401D6F"/>
    <w:rsid w:val="744525E4"/>
    <w:rsid w:val="746960C4"/>
    <w:rsid w:val="74B87C5E"/>
    <w:rsid w:val="74E80063"/>
    <w:rsid w:val="750000AA"/>
    <w:rsid w:val="75842A89"/>
    <w:rsid w:val="76157781"/>
    <w:rsid w:val="76EF1D3A"/>
    <w:rsid w:val="77676F01"/>
    <w:rsid w:val="77CB499F"/>
    <w:rsid w:val="79DF2984"/>
    <w:rsid w:val="7A3927CB"/>
    <w:rsid w:val="7A4E7799"/>
    <w:rsid w:val="7C755728"/>
    <w:rsid w:val="7C783964"/>
    <w:rsid w:val="7DB54813"/>
    <w:rsid w:val="7DD722F0"/>
    <w:rsid w:val="7E755665"/>
    <w:rsid w:val="7E784D07"/>
    <w:rsid w:val="7EC859FF"/>
    <w:rsid w:val="7F057E74"/>
    <w:rsid w:val="7F8D08BF"/>
    <w:rsid w:val="7FE743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semiHidden/>
    <w:unhideWhenUsed/>
    <w:qFormat/>
    <w:uiPriority w:val="99"/>
    <w:pPr>
      <w:spacing w:after="120" w:afterLines="0" w:afterAutospacing="0"/>
      <w:jc w:val="left"/>
    </w:pPr>
    <w:rPr>
      <w:rFonts w:ascii="Times New Roman" w:hAnsi="Times New Roman" w:eastAsia="宋体"/>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4"/>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4275</Words>
  <Characters>5042</Characters>
  <Lines>1</Lines>
  <Paragraphs>1</Paragraphs>
  <TotalTime>0</TotalTime>
  <ScaleCrop>false</ScaleCrop>
  <LinksUpToDate>false</LinksUpToDate>
  <CharactersWithSpaces>5120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2022-06-27T03:55:07Z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7DFCEC2663F8433AAB0395BE4DD38EEB</vt:lpwstr>
  </property>
  <property fmtid="{D5CDD505-2E9C-101B-9397-08002B2CF9AE}" pid="3" name="KSOProductBuildVer">
    <vt:lpwstr>2052-11.1.0.11830</vt:lpwstr>
  </property>
</Properties>
</file>