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240" w:lineRule="auto"/>
              <w:jc w:val="center"/>
              <w:rPr>
                <w:sz w:val="24"/>
                <w:szCs w:val="24"/>
              </w:rPr>
            </w:pPr>
            <w:r>
              <w:rPr>
                <w:rFonts w:hint="eastAsia"/>
                <w:sz w:val="24"/>
                <w:szCs w:val="24"/>
              </w:rPr>
              <w:t>过程与活动、</w:t>
            </w:r>
          </w:p>
          <w:p>
            <w:pPr>
              <w:spacing w:line="240" w:lineRule="auto"/>
              <w:jc w:val="center"/>
              <w:rPr>
                <w:sz w:val="24"/>
                <w:szCs w:val="24"/>
              </w:rPr>
            </w:pPr>
            <w:r>
              <w:rPr>
                <w:rFonts w:hint="eastAsia"/>
                <w:sz w:val="24"/>
                <w:szCs w:val="24"/>
              </w:rPr>
              <w:t>抽样计划</w:t>
            </w:r>
          </w:p>
        </w:tc>
        <w:tc>
          <w:tcPr>
            <w:tcW w:w="960" w:type="dxa"/>
            <w:vMerge w:val="restart"/>
            <w:vAlign w:val="center"/>
          </w:tcPr>
          <w:p>
            <w:pPr>
              <w:spacing w:line="240" w:lineRule="auto"/>
              <w:rPr>
                <w:sz w:val="24"/>
                <w:szCs w:val="24"/>
              </w:rPr>
            </w:pPr>
            <w:r>
              <w:rPr>
                <w:rFonts w:hint="eastAsia"/>
                <w:sz w:val="24"/>
                <w:szCs w:val="24"/>
              </w:rPr>
              <w:t>涉及</w:t>
            </w:r>
          </w:p>
          <w:p>
            <w:pPr>
              <w:spacing w:line="240" w:lineRule="auto"/>
              <w:rPr>
                <w:sz w:val="24"/>
                <w:szCs w:val="24"/>
              </w:rPr>
            </w:pPr>
            <w:r>
              <w:rPr>
                <w:rFonts w:hint="eastAsia"/>
                <w:sz w:val="24"/>
                <w:szCs w:val="24"/>
              </w:rPr>
              <w:t>条款</w:t>
            </w:r>
          </w:p>
        </w:tc>
        <w:tc>
          <w:tcPr>
            <w:tcW w:w="10004" w:type="dxa"/>
            <w:vAlign w:val="center"/>
          </w:tcPr>
          <w:p>
            <w:pPr>
              <w:spacing w:line="240" w:lineRule="auto"/>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管理层     </w:t>
            </w:r>
            <w:r>
              <w:rPr>
                <w:rFonts w:hint="eastAsia"/>
                <w:sz w:val="24"/>
                <w:szCs w:val="24"/>
              </w:rPr>
              <w:t>主管领导：</w:t>
            </w:r>
            <w:r>
              <w:rPr>
                <w:rFonts w:hint="eastAsia"/>
                <w:sz w:val="24"/>
                <w:szCs w:val="24"/>
                <w:lang w:val="en-US" w:eastAsia="zh-CN"/>
              </w:rPr>
              <w:t xml:space="preserve">李双清，李少飞，刘峰娥  </w:t>
            </w:r>
            <w:r>
              <w:rPr>
                <w:rFonts w:hint="eastAsia"/>
                <w:sz w:val="24"/>
                <w:szCs w:val="24"/>
              </w:rPr>
              <w:t>陪同人员：</w:t>
            </w:r>
            <w:r>
              <w:rPr>
                <w:rFonts w:hint="eastAsia"/>
                <w:sz w:val="24"/>
                <w:szCs w:val="24"/>
                <w:lang w:val="en-US" w:eastAsia="zh-CN"/>
              </w:rPr>
              <w:t>张晓立</w:t>
            </w:r>
          </w:p>
        </w:tc>
        <w:tc>
          <w:tcPr>
            <w:tcW w:w="1585" w:type="dxa"/>
            <w:vMerge w:val="restart"/>
            <w:vAlign w:val="center"/>
          </w:tcPr>
          <w:p>
            <w:pPr>
              <w:spacing w:line="240" w:lineRule="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240" w:lineRule="auto"/>
              <w:rPr>
                <w:sz w:val="24"/>
                <w:szCs w:val="24"/>
              </w:rPr>
            </w:pPr>
          </w:p>
        </w:tc>
        <w:tc>
          <w:tcPr>
            <w:tcW w:w="960" w:type="dxa"/>
            <w:vMerge w:val="continue"/>
            <w:vAlign w:val="center"/>
          </w:tcPr>
          <w:p>
            <w:pPr>
              <w:spacing w:line="240" w:lineRule="auto"/>
              <w:rPr>
                <w:sz w:val="24"/>
                <w:szCs w:val="24"/>
              </w:rPr>
            </w:pPr>
          </w:p>
        </w:tc>
        <w:tc>
          <w:tcPr>
            <w:tcW w:w="10004" w:type="dxa"/>
            <w:vAlign w:val="center"/>
          </w:tcPr>
          <w:p>
            <w:pPr>
              <w:spacing w:before="120" w:line="240" w:lineRule="auto"/>
              <w:rPr>
                <w:rFonts w:hint="default" w:eastAsia="宋体"/>
                <w:sz w:val="24"/>
                <w:szCs w:val="24"/>
                <w:lang w:val="en-US" w:eastAsia="zh-CN"/>
              </w:rPr>
            </w:pPr>
            <w:r>
              <w:rPr>
                <w:rFonts w:hint="eastAsia"/>
                <w:sz w:val="24"/>
                <w:szCs w:val="24"/>
              </w:rPr>
              <w:t>审核员：</w:t>
            </w:r>
            <w:bookmarkStart w:id="0" w:name="审核组成员不含组长"/>
            <w:r>
              <w:rPr>
                <w:rFonts w:hint="eastAsia"/>
                <w:sz w:val="24"/>
                <w:szCs w:val="24"/>
              </w:rPr>
              <w:t>周文</w:t>
            </w:r>
            <w:bookmarkEnd w:id="0"/>
            <w:r>
              <w:rPr>
                <w:rFonts w:hint="eastAsia"/>
                <w:sz w:val="24"/>
                <w:szCs w:val="24"/>
                <w:lang w:val="en-US" w:eastAsia="zh-CN"/>
              </w:rPr>
              <w:t xml:space="preserve">  </w:t>
            </w:r>
            <w:r>
              <w:rPr>
                <w:rFonts w:hint="eastAsia"/>
                <w:sz w:val="21"/>
                <w:szCs w:val="21"/>
                <w:lang w:val="en-US" w:eastAsia="zh-CN"/>
              </w:rPr>
              <w:t>（远程审核通过微信进行沟通搜集证据）</w:t>
            </w:r>
            <w:bookmarkStart w:id="8" w:name="_GoBack"/>
            <w:bookmarkEnd w:id="8"/>
            <w:r>
              <w:rPr>
                <w:rFonts w:hint="eastAsia"/>
                <w:sz w:val="24"/>
                <w:szCs w:val="24"/>
                <w:lang w:val="en-US" w:eastAsia="zh-CN"/>
              </w:rPr>
              <w:t xml:space="preserve">    </w:t>
            </w:r>
            <w:r>
              <w:rPr>
                <w:rFonts w:hint="eastAsia"/>
                <w:sz w:val="24"/>
                <w:szCs w:val="24"/>
              </w:rPr>
              <w:t>审核时间：</w:t>
            </w:r>
            <w:bookmarkStart w:id="1" w:name="审核日期"/>
            <w:r>
              <w:rPr>
                <w:sz w:val="24"/>
                <w:szCs w:val="24"/>
              </w:rPr>
              <w:t>2022年</w:t>
            </w:r>
            <w:r>
              <w:rPr>
                <w:rFonts w:hint="eastAsia"/>
                <w:sz w:val="24"/>
                <w:szCs w:val="24"/>
                <w:lang w:val="en-US" w:eastAsia="zh-CN"/>
              </w:rPr>
              <w:t xml:space="preserve"> 6  </w:t>
            </w:r>
            <w:r>
              <w:rPr>
                <w:sz w:val="24"/>
                <w:szCs w:val="24"/>
              </w:rPr>
              <w:t>月</w:t>
            </w:r>
            <w:r>
              <w:rPr>
                <w:rFonts w:hint="eastAsia"/>
                <w:sz w:val="24"/>
                <w:szCs w:val="24"/>
                <w:lang w:val="en-US" w:eastAsia="zh-CN"/>
              </w:rPr>
              <w:t xml:space="preserve"> 17  </w:t>
            </w:r>
            <w:r>
              <w:rPr>
                <w:sz w:val="24"/>
                <w:szCs w:val="24"/>
              </w:rPr>
              <w:t xml:space="preserve">日 </w:t>
            </w:r>
            <w:bookmarkEnd w:id="1"/>
            <w:r>
              <w:rPr>
                <w:rFonts w:hint="eastAsia"/>
                <w:sz w:val="24"/>
                <w:szCs w:val="24"/>
                <w:lang w:val="en-US" w:eastAsia="zh-CN"/>
              </w:rPr>
              <w:t xml:space="preserve">   </w:t>
            </w:r>
          </w:p>
        </w:tc>
        <w:tc>
          <w:tcPr>
            <w:tcW w:w="1585" w:type="dxa"/>
            <w:vMerge w:val="continue"/>
          </w:tcPr>
          <w:p>
            <w:pPr>
              <w:spacing w:line="24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240" w:lineRule="auto"/>
              <w:rPr>
                <w:sz w:val="24"/>
                <w:szCs w:val="24"/>
              </w:rPr>
            </w:pPr>
          </w:p>
        </w:tc>
        <w:tc>
          <w:tcPr>
            <w:tcW w:w="960" w:type="dxa"/>
            <w:vMerge w:val="continue"/>
            <w:vAlign w:val="center"/>
          </w:tcPr>
          <w:p>
            <w:pPr>
              <w:spacing w:line="240" w:lineRule="auto"/>
              <w:rPr>
                <w:sz w:val="24"/>
                <w:szCs w:val="24"/>
              </w:rPr>
            </w:pPr>
          </w:p>
        </w:tc>
        <w:tc>
          <w:tcPr>
            <w:tcW w:w="10004" w:type="dxa"/>
            <w:vAlign w:val="center"/>
          </w:tcPr>
          <w:p>
            <w:pPr>
              <w:spacing w:line="240" w:lineRule="auto"/>
              <w:rPr>
                <w:rFonts w:hint="eastAsia" w:ascii="宋体" w:hAnsi="宋体"/>
                <w:b/>
                <w:bCs/>
                <w:sz w:val="24"/>
                <w:szCs w:val="24"/>
                <w:lang w:val="en-US" w:eastAsia="zh-CN"/>
              </w:rPr>
            </w:pPr>
            <w:r>
              <w:rPr>
                <w:rFonts w:hint="eastAsia"/>
                <w:sz w:val="24"/>
                <w:szCs w:val="24"/>
              </w:rPr>
              <w:t>审核条款：</w:t>
            </w:r>
          </w:p>
          <w:p>
            <w:pPr>
              <w:snapToGrid w:val="0"/>
              <w:spacing w:line="240" w:lineRule="auto"/>
              <w:rPr>
                <w:rFonts w:ascii="宋体" w:hAnsi="宋体" w:cs="新宋体"/>
                <w:sz w:val="24"/>
                <w:szCs w:val="24"/>
              </w:rPr>
            </w:pPr>
            <w:r>
              <w:rPr>
                <w:rFonts w:hint="eastAsia"/>
                <w:sz w:val="24"/>
                <w:szCs w:val="24"/>
              </w:rPr>
              <w:t>管理层</w:t>
            </w:r>
            <w:r>
              <w:rPr>
                <w:rFonts w:hint="eastAsia"/>
                <w:sz w:val="24"/>
                <w:szCs w:val="24"/>
                <w:lang w:val="en-US" w:eastAsia="zh-CN"/>
              </w:rPr>
              <w:t>（含财务）</w:t>
            </w:r>
            <w:r>
              <w:rPr>
                <w:rFonts w:hint="eastAsia"/>
                <w:sz w:val="24"/>
                <w:szCs w:val="24"/>
              </w:rPr>
              <w:t>：</w:t>
            </w:r>
            <w:r>
              <w:rPr>
                <w:rFonts w:hint="eastAsia"/>
                <w:b w:val="0"/>
                <w:bCs w:val="0"/>
                <w:sz w:val="24"/>
                <w:szCs w:val="24"/>
                <w:lang w:val="de-DE"/>
              </w:rPr>
              <w:t xml:space="preserve">QMS-2015 </w:t>
            </w:r>
            <w:r>
              <w:rPr>
                <w:rFonts w:hint="eastAsia"/>
                <w:sz w:val="24"/>
                <w:szCs w:val="24"/>
                <w:lang w:val="en-US" w:eastAsia="zh-CN"/>
              </w:rPr>
              <w:t>（远程审核通过微信进行沟通搜集证据）</w:t>
            </w:r>
          </w:p>
          <w:p>
            <w:pPr>
              <w:snapToGrid w:val="0"/>
              <w:spacing w:line="240" w:lineRule="auto"/>
              <w:rPr>
                <w:rFonts w:hint="eastAsia" w:ascii="宋体" w:hAnsi="宋体" w:eastAsia="宋体" w:cs="新宋体"/>
                <w:bCs w:val="0"/>
                <w:spacing w:val="0"/>
                <w:kern w:val="2"/>
                <w:sz w:val="24"/>
                <w:szCs w:val="24"/>
                <w:lang w:val="en-US" w:eastAsia="zh-CN" w:bidi="ar-SA"/>
              </w:rPr>
            </w:pPr>
            <w:r>
              <w:rPr>
                <w:rFonts w:hint="eastAsia" w:ascii="宋体" w:hAnsi="宋体" w:eastAsia="宋体" w:cs="新宋体"/>
                <w:bCs w:val="0"/>
                <w:spacing w:val="0"/>
                <w:kern w:val="2"/>
                <w:sz w:val="24"/>
                <w:szCs w:val="24"/>
                <w:lang w:val="en-US" w:eastAsia="zh-CN" w:bidi="ar-SA"/>
              </w:rPr>
              <w:t>4.1组织及其环境;4.2相关方需求与期望;4.3确定体系范围;4.4体系及其过程;5.1领导作用与承诺;5.2方针;5.3组织的角色、职责和权限；6.1应对风险和机遇的措施；6.2目标及其实现的策划；6.3变更的策划；7.1.1资源 总则；9.3管理评审；10.1改进 总则；10.3持续改进</w:t>
            </w:r>
          </w:p>
          <w:p>
            <w:pPr>
              <w:snapToGrid w:val="0"/>
              <w:spacing w:line="240" w:lineRule="auto"/>
              <w:rPr>
                <w:rFonts w:hint="eastAsia" w:ascii="宋体" w:hAnsi="宋体" w:eastAsia="宋体" w:cs="新宋体"/>
                <w:bCs w:val="0"/>
                <w:spacing w:val="0"/>
                <w:kern w:val="2"/>
                <w:sz w:val="24"/>
                <w:szCs w:val="24"/>
                <w:lang w:val="en-US" w:eastAsia="zh-CN" w:bidi="ar-SA"/>
              </w:rPr>
            </w:pPr>
            <w:r>
              <w:rPr>
                <w:rFonts w:hint="eastAsia"/>
                <w:b w:val="0"/>
                <w:bCs w:val="0"/>
                <w:sz w:val="24"/>
                <w:szCs w:val="24"/>
                <w:lang w:val="de-DE"/>
              </w:rPr>
              <w:t>EMS-2015</w:t>
            </w:r>
            <w:r>
              <w:rPr>
                <w:rFonts w:hint="eastAsia"/>
                <w:b w:val="0"/>
                <w:bCs w:val="0"/>
                <w:sz w:val="24"/>
                <w:szCs w:val="24"/>
                <w:lang w:val="en-US" w:eastAsia="zh-CN"/>
              </w:rPr>
              <w:t xml:space="preserve">  </w:t>
            </w:r>
            <w:r>
              <w:rPr>
                <w:rFonts w:hint="eastAsia"/>
                <w:b w:val="0"/>
                <w:bCs w:val="0"/>
                <w:sz w:val="24"/>
                <w:szCs w:val="24"/>
                <w:lang w:val="de-DE"/>
              </w:rPr>
              <w:t xml:space="preserve"> </w:t>
            </w:r>
            <w:r>
              <w:rPr>
                <w:rFonts w:hint="eastAsia"/>
                <w:b w:val="0"/>
                <w:bCs w:val="0"/>
                <w:sz w:val="24"/>
                <w:szCs w:val="24"/>
                <w:lang w:val="en-US" w:eastAsia="zh-CN"/>
              </w:rPr>
              <w:t xml:space="preserve">        </w:t>
            </w:r>
            <w:r>
              <w:rPr>
                <w:rFonts w:hint="eastAsia" w:ascii="宋体" w:hAnsi="宋体" w:eastAsia="宋体" w:cs="新宋体"/>
                <w:bCs w:val="0"/>
                <w:spacing w:val="0"/>
                <w:kern w:val="2"/>
                <w:sz w:val="24"/>
                <w:szCs w:val="24"/>
                <w:lang w:val="en-US" w:eastAsia="zh-CN" w:bidi="ar-SA"/>
              </w:rPr>
              <w:t>4.1组织及其环境;4.2相关方需求与期望;4.3确定体系范围;4.4体系;5.1领导作用与承诺;5.2方针;5.3组织的角色、职责和权限； 6.1.1策划总则；6.1.4措施的策划；6.2目标及其实现的策划；7.1资源；9.3管理评审；10.1改进 总则；10.3持续改进。</w:t>
            </w:r>
          </w:p>
          <w:p>
            <w:pPr>
              <w:snapToGrid w:val="0"/>
              <w:spacing w:line="240" w:lineRule="auto"/>
              <w:rPr>
                <w:rFonts w:hint="eastAsia" w:ascii="宋体" w:hAnsi="宋体" w:eastAsia="宋体" w:cs="新宋体"/>
                <w:bCs w:val="0"/>
                <w:spacing w:val="0"/>
                <w:kern w:val="2"/>
                <w:sz w:val="24"/>
                <w:szCs w:val="24"/>
                <w:lang w:val="en-US" w:eastAsia="zh-CN" w:bidi="ar-SA"/>
              </w:rPr>
            </w:pPr>
            <w:r>
              <w:rPr>
                <w:rFonts w:hint="eastAsia"/>
                <w:b w:val="0"/>
                <w:bCs w:val="0"/>
                <w:sz w:val="24"/>
                <w:szCs w:val="24"/>
                <w:lang w:val="de-DE"/>
              </w:rPr>
              <w:t>ISO 45</w:t>
            </w:r>
            <w:r>
              <w:rPr>
                <w:rFonts w:hint="eastAsia"/>
                <w:sz w:val="24"/>
                <w:szCs w:val="24"/>
                <w:lang w:val="de-DE"/>
              </w:rPr>
              <w:t>001：2018</w:t>
            </w:r>
            <w:r>
              <w:rPr>
                <w:rFonts w:hint="eastAsia"/>
                <w:sz w:val="24"/>
                <w:szCs w:val="24"/>
                <w:lang w:val="en-US" w:eastAsia="zh-CN"/>
              </w:rPr>
              <w:t xml:space="preserve">      </w:t>
            </w:r>
            <w:r>
              <w:rPr>
                <w:rFonts w:hint="eastAsia" w:ascii="宋体" w:hAnsi="宋体" w:eastAsia="宋体" w:cs="新宋体"/>
                <w:bCs w:val="0"/>
                <w:spacing w:val="0"/>
                <w:kern w:val="2"/>
                <w:sz w:val="24"/>
                <w:szCs w:val="24"/>
                <w:lang w:val="en-US" w:eastAsia="zh-CN" w:bidi="ar-SA"/>
              </w:rPr>
              <w:t>4.1组织及其环境;4.2相关方需求与期望;4.3确定体系范围;4.4体系;5.1领导作用与承诺;5.2方针;5.3组织的角色、职责和权限；6.1应对风险和机遇的措施6.1.4措施的策划；6.2目标及其实现的策划；7.1资源；9.3管理评审；10.1事件、不符合和纠正措施；10.3持续改进。</w:t>
            </w:r>
          </w:p>
          <w:p>
            <w:pPr>
              <w:spacing w:line="240" w:lineRule="auto"/>
              <w:rPr>
                <w:sz w:val="24"/>
                <w:szCs w:val="24"/>
              </w:rPr>
            </w:pPr>
            <w:r>
              <w:rPr>
                <w:rFonts w:hint="eastAsia" w:ascii="宋体" w:hAnsi="宋体" w:eastAsia="宋体" w:cs="新宋体"/>
                <w:bCs w:val="0"/>
                <w:spacing w:val="0"/>
                <w:kern w:val="2"/>
                <w:sz w:val="24"/>
                <w:szCs w:val="24"/>
                <w:lang w:val="en-US" w:eastAsia="zh-CN" w:bidi="ar-SA"/>
              </w:rPr>
              <w:t>资质验证/范围再确认/初审阶段问题验证/投诉或事故/政府主管部门监督抽查情况。</w:t>
            </w:r>
          </w:p>
        </w:tc>
        <w:tc>
          <w:tcPr>
            <w:tcW w:w="1585" w:type="dxa"/>
            <w:vMerge w:val="continue"/>
          </w:tcPr>
          <w:p>
            <w:pPr>
              <w:spacing w:line="24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tabs>
                <w:tab w:val="left" w:pos="709"/>
              </w:tabs>
              <w:spacing w:line="240" w:lineRule="auto"/>
              <w:ind w:right="57"/>
              <w:rPr>
                <w:sz w:val="24"/>
                <w:szCs w:val="24"/>
              </w:rPr>
            </w:pPr>
            <w:r>
              <w:rPr>
                <w:rFonts w:hint="eastAsia"/>
                <w:sz w:val="24"/>
                <w:szCs w:val="24"/>
              </w:rPr>
              <w:t>企业概况及组织体系总体策划和建立过程：</w:t>
            </w:r>
          </w:p>
          <w:p>
            <w:pPr>
              <w:spacing w:line="240" w:lineRule="auto"/>
              <w:rPr>
                <w:sz w:val="24"/>
                <w:szCs w:val="24"/>
              </w:rPr>
            </w:pPr>
            <w:r>
              <w:rPr>
                <w:rFonts w:hint="eastAsia"/>
                <w:sz w:val="24"/>
                <w:szCs w:val="24"/>
              </w:rPr>
              <w:t>*影响企业管理体系预期结果的风险识别与应对，包括相关方需求识别和应对，以及风险识别与应对机制的建立</w:t>
            </w:r>
          </w:p>
        </w:tc>
        <w:tc>
          <w:tcPr>
            <w:tcW w:w="960" w:type="dxa"/>
          </w:tcPr>
          <w:p>
            <w:pPr>
              <w:spacing w:line="240" w:lineRule="auto"/>
              <w:rPr>
                <w:rFonts w:hint="default" w:eastAsia="宋体"/>
                <w:sz w:val="24"/>
                <w:szCs w:val="24"/>
                <w:lang w:val="en-US" w:eastAsia="zh-CN"/>
              </w:rPr>
            </w:pPr>
            <w:r>
              <w:rPr>
                <w:rFonts w:hint="eastAsia"/>
                <w:sz w:val="24"/>
                <w:szCs w:val="24"/>
                <w:lang w:val="en-US" w:eastAsia="zh-CN"/>
              </w:rPr>
              <w:t>QES4.1、4.2、6.1</w:t>
            </w:r>
          </w:p>
        </w:tc>
        <w:tc>
          <w:tcPr>
            <w:tcW w:w="10004" w:type="dxa"/>
          </w:tcPr>
          <w:p>
            <w:pPr>
              <w:spacing w:line="240" w:lineRule="auto"/>
              <w:ind w:firstLine="480" w:firstLineChars="200"/>
              <w:rPr>
                <w:rFonts w:hint="default" w:eastAsia="宋体"/>
                <w:sz w:val="24"/>
                <w:szCs w:val="24"/>
                <w:lang w:val="en-US" w:eastAsia="zh-CN"/>
              </w:rPr>
            </w:pPr>
            <w:r>
              <w:rPr>
                <w:rFonts w:hint="eastAsia"/>
                <w:sz w:val="24"/>
                <w:szCs w:val="24"/>
                <w:lang w:val="en-US" w:eastAsia="zh-CN"/>
              </w:rPr>
              <w:t>法人/企业负责人/管代：李少飞；总 经 理：李双清；</w:t>
            </w:r>
          </w:p>
          <w:p>
            <w:pPr>
              <w:spacing w:line="240" w:lineRule="auto"/>
              <w:ind w:firstLine="480" w:firstLineChars="200"/>
              <w:rPr>
                <w:sz w:val="24"/>
                <w:szCs w:val="24"/>
              </w:rPr>
            </w:pPr>
            <w:r>
              <w:rPr>
                <w:rFonts w:hint="eastAsia"/>
                <w:sz w:val="24"/>
                <w:szCs w:val="24"/>
              </w:rPr>
              <w:t>河北德华医疗器械有限公司公司简介2016年5月16日，河北德华医疗器械有限公司注册于日中天科技园众创空间B2-19，并在元氏县设立服装加工参照欧盟相关标准，并遵循中国医药行业相关医疗器械标准，专业研发生产高端手术室纺织品及医用防护用品。2017年3月15日，河北德华医疗器械有限公司与德国Quick&amp;CleanInternationalGmbH签订了合作研发“新型可重复使用手术室纺织品”项目，德国专家定期来我公司进行技术指导和培训。2018年6月22日，与石家庄高新区日中天科技投资有限公司参加《中国.石家庄（德国）“4+4”现代产业招商推介会》，和德国Quick&amp;CleanInternationalGmbH签订合作协议，引进国际先进技术，研发生产手术室纺织品、医用防护用品及专业面料。2018年11月18日，入住日中科技园孵化器17楼800m2研发生产车间。2018年12月25日，与国药控股创服医疗技术（上海）有限公司签订战略合作框架协议，做为国药集团医用织物生产基地。2019年12月31日，取得河北省药品监督管理局颁发的复用手术衣、手术衣、复用手术洞巾、复用手术单四个产品二类医疗器械注册证和二类医疗器械资质。</w:t>
            </w:r>
          </w:p>
          <w:p>
            <w:pPr>
              <w:pStyle w:val="14"/>
              <w:spacing w:line="240" w:lineRule="auto"/>
              <w:ind w:firstLine="480" w:firstLineChars="200"/>
              <w:rPr>
                <w:rFonts w:hint="eastAsia" w:ascii="Times New Roman" w:hAnsi="Times New Roman"/>
                <w:sz w:val="24"/>
                <w:szCs w:val="24"/>
              </w:rPr>
            </w:pPr>
            <w:r>
              <w:rPr>
                <w:rFonts w:hint="eastAsia" w:ascii="Times New Roman" w:hAnsi="Times New Roman"/>
                <w:color w:val="FF0000"/>
                <w:sz w:val="24"/>
                <w:szCs w:val="24"/>
                <w:highlight w:val="none"/>
              </w:rPr>
              <w:t>公司</w:t>
            </w:r>
            <w:r>
              <w:rPr>
                <w:rFonts w:hint="eastAsia" w:ascii="Times New Roman" w:hAnsi="Times New Roman"/>
                <w:color w:val="FF0000"/>
                <w:sz w:val="24"/>
                <w:szCs w:val="24"/>
                <w:highlight w:val="none"/>
                <w:lang w:val="en-US" w:eastAsia="zh-CN"/>
              </w:rPr>
              <w:t>于2022年1月5日</w:t>
            </w:r>
            <w:r>
              <w:rPr>
                <w:rFonts w:hint="eastAsia" w:ascii="Times New Roman" w:hAnsi="Times New Roman"/>
                <w:sz w:val="24"/>
                <w:szCs w:val="24"/>
                <w:highlight w:val="none"/>
              </w:rPr>
              <w:t>依据GB/T19001-2015 idt ISO900</w:t>
            </w:r>
            <w:r>
              <w:rPr>
                <w:rFonts w:hint="eastAsia" w:ascii="Times New Roman" w:hAnsi="Times New Roman"/>
                <w:sz w:val="24"/>
                <w:szCs w:val="24"/>
              </w:rPr>
              <w:t>1：2015《质量管理体系  要求》</w:t>
            </w:r>
            <w:r>
              <w:rPr>
                <w:rFonts w:hint="eastAsia" w:ascii="Times New Roman" w:hAnsi="Times New Roman"/>
                <w:sz w:val="24"/>
                <w:szCs w:val="24"/>
                <w:lang w:eastAsia="zh-CN"/>
              </w:rPr>
              <w:t>、</w:t>
            </w:r>
            <w:r>
              <w:rPr>
                <w:rFonts w:hint="eastAsia" w:ascii="黑体" w:hAnsi="黑体" w:eastAsia="黑体" w:cs="黑体"/>
                <w:sz w:val="24"/>
                <w:szCs w:val="24"/>
              </w:rPr>
              <w:t>GB/T24001-2016 iAtISO14001：2015</w:t>
            </w:r>
            <w:r>
              <w:rPr>
                <w:rFonts w:hint="eastAsia" w:ascii="黑体" w:hAnsi="黑体" w:eastAsia="黑体" w:cs="黑体"/>
                <w:sz w:val="24"/>
                <w:szCs w:val="24"/>
                <w:lang w:eastAsia="zh-CN"/>
              </w:rPr>
              <w:t>《</w:t>
            </w:r>
            <w:r>
              <w:rPr>
                <w:rFonts w:hint="eastAsia" w:ascii="黑体" w:hAnsi="黑体" w:eastAsia="黑体" w:cs="黑体"/>
                <w:sz w:val="24"/>
                <w:szCs w:val="24"/>
              </w:rPr>
              <w:t>环境管理体系 要求及使用指南</w:t>
            </w:r>
            <w:r>
              <w:rPr>
                <w:rFonts w:hint="eastAsia" w:ascii="黑体" w:hAnsi="黑体" w:eastAsia="黑体" w:cs="黑体"/>
                <w:sz w:val="24"/>
                <w:szCs w:val="24"/>
                <w:lang w:eastAsia="zh-CN"/>
              </w:rPr>
              <w:t>》；</w:t>
            </w:r>
            <w:r>
              <w:rPr>
                <w:rFonts w:hint="eastAsia" w:ascii="Times New Roman" w:hAnsi="Times New Roman"/>
                <w:sz w:val="24"/>
                <w:szCs w:val="24"/>
                <w:lang w:eastAsia="zh-CN"/>
              </w:rPr>
              <w:t>GB/T45001-2020/ISO45001:20</w:t>
            </w:r>
            <w:r>
              <w:rPr>
                <w:rFonts w:hint="eastAsia" w:ascii="Times New Roman" w:hAnsi="Times New Roman"/>
                <w:sz w:val="24"/>
                <w:szCs w:val="24"/>
                <w:lang w:val="en-US" w:eastAsia="zh-CN"/>
              </w:rPr>
              <w:t>20</w:t>
            </w:r>
            <w:r>
              <w:rPr>
                <w:rFonts w:hint="eastAsia" w:ascii="Times New Roman" w:hAnsi="Times New Roman"/>
                <w:sz w:val="24"/>
                <w:szCs w:val="24"/>
              </w:rPr>
              <w:t>《职业健康安全管理体系 要求及使用指南》，结合本公司的实际情况和产品特性</w:t>
            </w:r>
            <w:r>
              <w:rPr>
                <w:rFonts w:hint="eastAsia" w:ascii="Times New Roman" w:hAnsi="Times New Roman"/>
                <w:sz w:val="24"/>
                <w:szCs w:val="24"/>
                <w:lang w:eastAsia="zh-CN"/>
              </w:rPr>
              <w:t>，</w:t>
            </w:r>
            <w:r>
              <w:rPr>
                <w:rFonts w:hint="eastAsia" w:ascii="Times New Roman" w:hAnsi="Times New Roman"/>
                <w:sz w:val="24"/>
                <w:szCs w:val="24"/>
              </w:rPr>
              <w:t>建立</w:t>
            </w:r>
            <w:r>
              <w:rPr>
                <w:rFonts w:hint="eastAsia" w:ascii="Times New Roman" w:hAnsi="Times New Roman"/>
                <w:sz w:val="24"/>
                <w:szCs w:val="24"/>
                <w:lang w:eastAsia="zh-CN"/>
              </w:rPr>
              <w:t>、</w:t>
            </w:r>
            <w:r>
              <w:rPr>
                <w:rFonts w:hint="eastAsia" w:ascii="Times New Roman" w:hAnsi="Times New Roman"/>
                <w:sz w:val="24"/>
                <w:szCs w:val="24"/>
                <w:lang w:val="en-US" w:eastAsia="zh-CN"/>
              </w:rPr>
              <w:t>实施、保持和持续改进</w:t>
            </w:r>
            <w:r>
              <w:rPr>
                <w:rFonts w:hint="eastAsia" w:ascii="Times New Roman" w:hAnsi="Times New Roman"/>
                <w:sz w:val="24"/>
                <w:szCs w:val="24"/>
              </w:rPr>
              <w:t>了质量</w:t>
            </w:r>
            <w:r>
              <w:rPr>
                <w:rFonts w:hint="eastAsia" w:ascii="Times New Roman" w:hAnsi="Times New Roman"/>
                <w:sz w:val="24"/>
                <w:szCs w:val="24"/>
                <w:lang w:eastAsia="zh-CN"/>
              </w:rPr>
              <w:t>、</w:t>
            </w:r>
            <w:r>
              <w:rPr>
                <w:rFonts w:hint="eastAsia" w:ascii="Times New Roman" w:hAnsi="Times New Roman"/>
                <w:sz w:val="24"/>
                <w:szCs w:val="24"/>
                <w:lang w:val="en-US" w:eastAsia="zh-CN"/>
              </w:rPr>
              <w:t>环境、职业健康安全一体化管理</w:t>
            </w:r>
            <w:r>
              <w:rPr>
                <w:rFonts w:hint="eastAsia" w:ascii="Times New Roman" w:hAnsi="Times New Roman"/>
                <w:sz w:val="24"/>
                <w:szCs w:val="24"/>
              </w:rPr>
              <w:t>体系，确保在满足国家法规的基础上为客户提供优质的产品和完善的服务。</w:t>
            </w:r>
          </w:p>
          <w:p>
            <w:pPr>
              <w:pStyle w:val="14"/>
              <w:spacing w:line="240" w:lineRule="auto"/>
              <w:ind w:firstLine="480" w:firstLineChars="200"/>
              <w:rPr>
                <w:rFonts w:ascii="Times New Roman" w:hAnsi="Times New Roman"/>
                <w:sz w:val="24"/>
                <w:szCs w:val="24"/>
              </w:rPr>
            </w:pPr>
            <w:r>
              <w:rPr>
                <w:rFonts w:hint="eastAsia" w:ascii="Times New Roman" w:hAnsi="Times New Roman"/>
                <w:sz w:val="24"/>
                <w:szCs w:val="24"/>
              </w:rPr>
              <w:t>根据顾客要求、企业的经验和资源状况，以过程方法模式，识别公司的管理体系所需的过程。采用PDCA循环的管理方法。重点识别</w:t>
            </w:r>
            <w:bookmarkStart w:id="2" w:name="_Hlk89377188"/>
            <w:bookmarkStart w:id="3" w:name="_Hlk83565831"/>
            <w:r>
              <w:rPr>
                <w:rFonts w:hint="eastAsia" w:ascii="Times New Roman" w:hAnsi="Times New Roman"/>
                <w:sz w:val="24"/>
                <w:szCs w:val="24"/>
                <w:lang w:eastAsia="zh-CN"/>
              </w:rPr>
              <w:t>位于石家庄高新区天山大街585号日中天科技园1702的河北德华医疗器械有限公司的医疗器械和纺织品的销售</w:t>
            </w:r>
            <w:bookmarkEnd w:id="2"/>
            <w:bookmarkEnd w:id="3"/>
            <w:r>
              <w:rPr>
                <w:rFonts w:hint="eastAsia" w:ascii="Times New Roman" w:hAnsi="Times New Roman"/>
                <w:sz w:val="24"/>
                <w:szCs w:val="24"/>
              </w:rPr>
              <w:t>及相关环境</w:t>
            </w:r>
            <w:r>
              <w:rPr>
                <w:rFonts w:hint="eastAsia" w:ascii="Times New Roman" w:hAnsi="Times New Roman"/>
                <w:sz w:val="24"/>
                <w:szCs w:val="24"/>
                <w:lang w:eastAsia="zh-CN"/>
              </w:rPr>
              <w:t>、</w:t>
            </w:r>
            <w:r>
              <w:rPr>
                <w:rFonts w:hint="eastAsia" w:ascii="Times New Roman" w:hAnsi="Times New Roman"/>
                <w:sz w:val="24"/>
                <w:szCs w:val="24"/>
                <w:lang w:val="en-US" w:eastAsia="zh-CN"/>
              </w:rPr>
              <w:t>职业健康安全</w:t>
            </w:r>
            <w:r>
              <w:rPr>
                <w:rFonts w:hint="eastAsia" w:ascii="Times New Roman" w:hAnsi="Times New Roman"/>
                <w:sz w:val="24"/>
                <w:szCs w:val="24"/>
              </w:rPr>
              <w:t>管理活动实现过程、关键过程及其相互作用。通过把管理的过程方法原则和系统方法原理相结合，实现企业的全面管理。</w:t>
            </w:r>
          </w:p>
          <w:p>
            <w:pPr>
              <w:pStyle w:val="14"/>
              <w:spacing w:line="240" w:lineRule="auto"/>
              <w:rPr>
                <w:rFonts w:hint="default" w:ascii="Times New Roman" w:hAnsi="Times New Roman" w:eastAsia="宋体"/>
                <w:sz w:val="24"/>
                <w:szCs w:val="24"/>
                <w:lang w:val="en-US" w:eastAsia="zh-CN"/>
              </w:rPr>
            </w:pPr>
            <w:r>
              <w:rPr>
                <w:rFonts w:hint="eastAsia" w:ascii="Times New Roman" w:hAnsi="Times New Roman"/>
                <w:sz w:val="24"/>
                <w:szCs w:val="24"/>
                <w:lang w:val="en-US" w:eastAsia="zh-CN"/>
              </w:rPr>
              <w:t>---以顾客为关注焦点，对影响</w:t>
            </w:r>
            <w:r>
              <w:rPr>
                <w:rFonts w:hint="eastAsia"/>
                <w:sz w:val="24"/>
                <w:szCs w:val="24"/>
              </w:rPr>
              <w:t>公司</w:t>
            </w:r>
            <w:r>
              <w:rPr>
                <w:rFonts w:hint="eastAsia"/>
                <w:sz w:val="24"/>
                <w:szCs w:val="24"/>
                <w:lang w:val="en-US" w:eastAsia="zh-CN"/>
              </w:rPr>
              <w:t>管理体系预期结果的相关方进行了全面的识别和评价，</w:t>
            </w:r>
            <w:r>
              <w:rPr>
                <w:rFonts w:hint="eastAsia"/>
                <w:sz w:val="24"/>
                <w:szCs w:val="24"/>
              </w:rPr>
              <w:t>策划了</w:t>
            </w:r>
            <w:r>
              <w:rPr>
                <w:rFonts w:hint="eastAsia"/>
                <w:sz w:val="24"/>
                <w:szCs w:val="24"/>
                <w:lang w:eastAsia="zh-CN"/>
              </w:rPr>
              <w:t>“</w:t>
            </w:r>
            <w:r>
              <w:rPr>
                <w:rFonts w:hint="eastAsia"/>
                <w:sz w:val="24"/>
                <w:szCs w:val="24"/>
              </w:rPr>
              <w:t>组织环境与相关方要求控制程序</w:t>
            </w:r>
            <w:r>
              <w:rPr>
                <w:rFonts w:hint="eastAsia"/>
                <w:sz w:val="24"/>
                <w:szCs w:val="24"/>
                <w:lang w:eastAsia="zh-CN"/>
              </w:rPr>
              <w:t>”、“危险源辨识、风险评价和控制措施的控制程序”、</w:t>
            </w:r>
            <w:r>
              <w:rPr>
                <w:rFonts w:hint="eastAsia"/>
                <w:sz w:val="24"/>
                <w:szCs w:val="24"/>
              </w:rPr>
              <w:t>“法律法规管理及合规性评价程序”、“顾客满意度测量控制程序”</w:t>
            </w:r>
            <w:r>
              <w:rPr>
                <w:rFonts w:hint="eastAsia"/>
                <w:sz w:val="24"/>
                <w:szCs w:val="24"/>
                <w:lang w:val="en-US" w:eastAsia="zh-CN"/>
              </w:rPr>
              <w:t>等</w:t>
            </w:r>
            <w:r>
              <w:rPr>
                <w:rFonts w:hint="eastAsia"/>
                <w:sz w:val="24"/>
                <w:szCs w:val="24"/>
              </w:rPr>
              <w:t>。</w:t>
            </w:r>
          </w:p>
          <w:p>
            <w:pPr>
              <w:pStyle w:val="14"/>
              <w:spacing w:line="240" w:lineRule="auto"/>
              <w:ind w:firstLine="480" w:firstLineChars="200"/>
              <w:rPr>
                <w:rFonts w:hint="default" w:ascii="Times New Roman" w:hAnsi="Times New Roman"/>
                <w:sz w:val="24"/>
                <w:szCs w:val="24"/>
                <w:lang w:val="en-US" w:eastAsia="zh-CN"/>
              </w:rPr>
            </w:pPr>
            <w:r>
              <w:rPr>
                <w:rFonts w:hint="eastAsia" w:ascii="Times New Roman" w:hAnsi="Times New Roman"/>
                <w:sz w:val="24"/>
                <w:szCs w:val="24"/>
                <w:lang w:val="en-US" w:eastAsia="zh-CN"/>
              </w:rPr>
              <w:t>出示有“组织内外部环境识别表”、“相关方的需求和期望清单”及“ 风险和机遇评估分析表”，基于风险的思维对可能导致对过程和预期结果产生影响的公司内外部的因素、风险和机遇及与管理体系有关的相关方的信息进行了监视与评审。</w:t>
            </w:r>
          </w:p>
          <w:p>
            <w:pPr>
              <w:pStyle w:val="14"/>
              <w:spacing w:line="240" w:lineRule="auto"/>
              <w:rPr>
                <w:rFonts w:hint="eastAsia" w:ascii="Times New Roman" w:hAnsi="Times New Roman"/>
                <w:sz w:val="24"/>
                <w:szCs w:val="24"/>
                <w:lang w:val="en-US" w:eastAsia="zh-CN"/>
              </w:rPr>
            </w:pPr>
            <w:r>
              <w:rPr>
                <w:rFonts w:hint="eastAsia" w:ascii="Times New Roman" w:hAnsi="Times New Roman"/>
                <w:sz w:val="24"/>
                <w:szCs w:val="24"/>
                <w:lang w:val="en-US" w:eastAsia="zh-CN"/>
              </w:rPr>
              <w:t>---核查“企业风险和机遇应对策划表”，用危害分析法对内外部因素进行了分析，制定了下相应的控制措施及有效性评价。 抽查：</w:t>
            </w:r>
          </w:p>
          <w:p>
            <w:pPr>
              <w:pStyle w:val="14"/>
              <w:spacing w:line="240" w:lineRule="auto"/>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风险：</w:t>
            </w:r>
          </w:p>
          <w:p>
            <w:pPr>
              <w:pStyle w:val="14"/>
              <w:numPr>
                <w:ilvl w:val="0"/>
                <w:numId w:val="2"/>
              </w:numPr>
              <w:spacing w:line="240" w:lineRule="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市场与经营环境风险：行业政策、市场环境等发生重大变化（例如：金融危机，新行业政策颁布，重大的技术革新/商业创新，竞争对手的重大举措），企业未能及时识别并采取应对措施，导致企业遭受重大损失。</w:t>
            </w:r>
          </w:p>
          <w:p>
            <w:pPr>
              <w:pStyle w:val="14"/>
              <w:numPr>
                <w:ilvl w:val="0"/>
                <w:numId w:val="2"/>
              </w:numPr>
              <w:spacing w:line="240" w:lineRule="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组织/人员匹配不足：企业的组织架构、人员结构等不能适应企业战略的需要，影响企业经营发展。例如，业务转型后，缺少精通新业务的专业人员。</w:t>
            </w:r>
          </w:p>
          <w:p>
            <w:pPr>
              <w:pStyle w:val="14"/>
              <w:numPr>
                <w:ilvl w:val="0"/>
                <w:numId w:val="2"/>
              </w:numPr>
              <w:spacing w:line="240" w:lineRule="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人员健康安全：因培训不足、管理失误、人员违规操作或工作条件不当，影响员工健康，或造成人员死亡或其他伤害。</w:t>
            </w:r>
          </w:p>
          <w:p>
            <w:pPr>
              <w:pStyle w:val="14"/>
              <w:spacing w:line="240" w:lineRule="auto"/>
              <w:rPr>
                <w:rFonts w:hint="eastAsia"/>
                <w:sz w:val="24"/>
                <w:szCs w:val="24"/>
              </w:rPr>
            </w:pPr>
            <w:r>
              <w:rPr>
                <w:rFonts w:hint="eastAsia"/>
                <w:b/>
                <w:bCs/>
                <w:sz w:val="24"/>
                <w:szCs w:val="24"/>
              </w:rPr>
              <w:t>管理措施</w:t>
            </w:r>
          </w:p>
          <w:p>
            <w:pPr>
              <w:pStyle w:val="14"/>
              <w:numPr>
                <w:ilvl w:val="0"/>
                <w:numId w:val="3"/>
              </w:numPr>
              <w:spacing w:line="240" w:lineRule="auto"/>
              <w:rPr>
                <w:rFonts w:hint="eastAsia"/>
                <w:sz w:val="24"/>
                <w:szCs w:val="24"/>
                <w:lang w:val="en-US" w:eastAsia="zh-CN"/>
              </w:rPr>
            </w:pPr>
            <w:r>
              <w:rPr>
                <w:rFonts w:hint="eastAsia"/>
                <w:sz w:val="24"/>
                <w:szCs w:val="24"/>
                <w:lang w:val="en-US" w:eastAsia="zh-CN"/>
              </w:rPr>
              <w:t>公司参加行业会议，收集行业政策，分析市场环境，对变化及时识别并制定应对措施。</w:t>
            </w:r>
          </w:p>
          <w:p>
            <w:pPr>
              <w:pStyle w:val="14"/>
              <w:numPr>
                <w:ilvl w:val="0"/>
                <w:numId w:val="3"/>
              </w:numPr>
              <w:spacing w:line="240" w:lineRule="auto"/>
              <w:rPr>
                <w:rFonts w:hint="eastAsia"/>
                <w:sz w:val="24"/>
                <w:szCs w:val="24"/>
                <w:lang w:val="en-US" w:eastAsia="zh-CN"/>
              </w:rPr>
            </w:pPr>
            <w:r>
              <w:rPr>
                <w:rFonts w:hint="eastAsia"/>
                <w:sz w:val="24"/>
                <w:szCs w:val="24"/>
                <w:lang w:val="en-US" w:eastAsia="zh-CN"/>
              </w:rPr>
              <w:t>公司每年度修订人力资源发展规划，根据企业生产规模，精益生产等因素，配备相应的人员并实施考核。</w:t>
            </w:r>
          </w:p>
          <w:p>
            <w:pPr>
              <w:pStyle w:val="14"/>
              <w:numPr>
                <w:ilvl w:val="0"/>
                <w:numId w:val="3"/>
              </w:numPr>
              <w:spacing w:line="240" w:lineRule="auto"/>
              <w:rPr>
                <w:rFonts w:hint="eastAsia"/>
                <w:sz w:val="24"/>
                <w:szCs w:val="24"/>
                <w:lang w:val="en-US" w:eastAsia="zh-CN"/>
              </w:rPr>
            </w:pPr>
            <w:r>
              <w:rPr>
                <w:rFonts w:hint="eastAsia" w:ascii="宋体" w:hAnsi="宋体" w:eastAsia="宋体" w:cs="宋体"/>
                <w:i w:val="0"/>
                <w:iCs w:val="0"/>
                <w:color w:val="000000"/>
                <w:kern w:val="0"/>
                <w:sz w:val="24"/>
                <w:szCs w:val="24"/>
                <w:u w:val="none"/>
                <w:lang w:val="en-US" w:eastAsia="zh-CN" w:bidi="ar"/>
              </w:rPr>
              <w:t>公司招聘合适的员工，定期对员工进行考核和培训，开展日常的教育活动。</w:t>
            </w:r>
          </w:p>
          <w:p>
            <w:pPr>
              <w:pStyle w:val="14"/>
              <w:numPr>
                <w:ilvl w:val="0"/>
                <w:numId w:val="0"/>
              </w:numPr>
              <w:spacing w:line="240" w:lineRule="auto"/>
              <w:rPr>
                <w:rFonts w:hint="default"/>
                <w:sz w:val="24"/>
                <w:szCs w:val="24"/>
                <w:lang w:val="en-US" w:eastAsia="zh-CN"/>
              </w:rPr>
            </w:pPr>
            <w:r>
              <w:rPr>
                <w:rFonts w:hint="eastAsia" w:ascii="宋体" w:hAnsi="宋体" w:eastAsia="宋体" w:cs="宋体"/>
                <w:b/>
                <w:bCs/>
                <w:i w:val="0"/>
                <w:iCs w:val="0"/>
                <w:color w:val="000000"/>
                <w:kern w:val="0"/>
                <w:sz w:val="24"/>
                <w:szCs w:val="24"/>
                <w:u w:val="none"/>
                <w:lang w:val="en-US" w:eastAsia="zh-CN" w:bidi="ar"/>
              </w:rPr>
              <w:t>措施的评价</w:t>
            </w:r>
            <w:r>
              <w:rPr>
                <w:rFonts w:hint="eastAsia" w:ascii="宋体" w:hAnsi="宋体" w:eastAsia="宋体" w:cs="宋体"/>
                <w:i w:val="0"/>
                <w:iCs w:val="0"/>
                <w:color w:val="000000"/>
                <w:kern w:val="0"/>
                <w:sz w:val="24"/>
                <w:szCs w:val="24"/>
                <w:u w:val="none"/>
                <w:lang w:val="en-US" w:eastAsia="zh-CN" w:bidi="ar"/>
              </w:rPr>
              <w:t>：有效。</w:t>
            </w:r>
          </w:p>
          <w:p>
            <w:pPr>
              <w:pStyle w:val="14"/>
              <w:spacing w:line="240" w:lineRule="auto"/>
              <w:rPr>
                <w:rFonts w:hint="eastAsia"/>
                <w:sz w:val="24"/>
                <w:szCs w:val="24"/>
              </w:rPr>
            </w:pPr>
          </w:p>
          <w:p>
            <w:pPr>
              <w:pStyle w:val="14"/>
              <w:spacing w:line="240" w:lineRule="auto"/>
              <w:rPr>
                <w:rFonts w:hint="eastAsia"/>
                <w:sz w:val="24"/>
                <w:szCs w:val="24"/>
                <w:lang w:val="en-US" w:eastAsia="zh-CN"/>
              </w:rPr>
            </w:pPr>
          </w:p>
          <w:p>
            <w:pPr>
              <w:spacing w:line="240" w:lineRule="auto"/>
              <w:rPr>
                <w:rFonts w:hint="default" w:eastAsia="宋体"/>
                <w:sz w:val="24"/>
                <w:szCs w:val="24"/>
                <w:lang w:val="en-US" w:eastAsia="zh-CN"/>
              </w:rPr>
            </w:pPr>
            <w:r>
              <w:rPr>
                <w:rFonts w:hint="eastAsia"/>
                <w:color w:val="FF0000"/>
                <w:sz w:val="24"/>
                <w:szCs w:val="24"/>
              </w:rPr>
              <w:t>——</w:t>
            </w:r>
            <w:r>
              <w:rPr>
                <w:rFonts w:hint="eastAsia"/>
                <w:color w:val="FF0000"/>
                <w:sz w:val="24"/>
                <w:szCs w:val="24"/>
                <w:lang w:val="en-US" w:eastAsia="zh-CN"/>
              </w:rPr>
              <w:t>问题点：未见重大变更记录，监1年度1-3阶文件建立时间2022.1.5.不合适</w:t>
            </w:r>
            <w:r>
              <w:rPr>
                <w:rFonts w:hint="eastAsia"/>
                <w:sz w:val="24"/>
                <w:szCs w:val="24"/>
                <w:lang w:val="en-US" w:eastAsia="zh-CN"/>
              </w:rPr>
              <w:t>。</w:t>
            </w:r>
          </w:p>
          <w:p>
            <w:pPr>
              <w:spacing w:line="240" w:lineRule="auto"/>
              <w:rPr>
                <w:sz w:val="24"/>
                <w:szCs w:val="24"/>
              </w:rPr>
            </w:pPr>
          </w:p>
        </w:tc>
        <w:tc>
          <w:tcPr>
            <w:tcW w:w="1585" w:type="dxa"/>
          </w:tcPr>
          <w:p>
            <w:pPr>
              <w:spacing w:line="240" w:lineRule="auto"/>
              <w:rPr>
                <w:rFonts w:hint="eastAsia" w:eastAsia="宋体"/>
                <w:sz w:val="24"/>
                <w:szCs w:val="24"/>
                <w:lang w:val="en-US" w:eastAsia="zh-CN"/>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spacing w:line="240" w:lineRule="auto"/>
              <w:rPr>
                <w:rFonts w:hint="eastAsia" w:ascii="宋体"/>
                <w:sz w:val="24"/>
                <w:szCs w:val="24"/>
              </w:rPr>
            </w:pPr>
            <w:r>
              <w:rPr>
                <w:rFonts w:hint="eastAsia" w:ascii="宋体"/>
                <w:sz w:val="24"/>
                <w:szCs w:val="24"/>
              </w:rPr>
              <w:t>管理体系范围确定的适宜性和充分性</w:t>
            </w:r>
          </w:p>
          <w:p>
            <w:pPr>
              <w:spacing w:line="240" w:lineRule="auto"/>
              <w:rPr>
                <w:rFonts w:hint="eastAsia" w:ascii="宋体"/>
                <w:sz w:val="24"/>
                <w:szCs w:val="24"/>
              </w:rPr>
            </w:pPr>
            <w:r>
              <w:rPr>
                <w:rFonts w:hint="eastAsia" w:ascii="宋体"/>
                <w:sz w:val="24"/>
                <w:szCs w:val="24"/>
              </w:rPr>
              <w:t>管理体系策划、建立、</w:t>
            </w:r>
          </w:p>
          <w:p>
            <w:pPr>
              <w:spacing w:line="240" w:lineRule="auto"/>
              <w:rPr>
                <w:rFonts w:hint="eastAsia" w:ascii="宋体"/>
                <w:sz w:val="24"/>
                <w:szCs w:val="24"/>
              </w:rPr>
            </w:pPr>
            <w:r>
              <w:rPr>
                <w:rFonts w:hint="eastAsia" w:ascii="宋体"/>
                <w:sz w:val="24"/>
                <w:szCs w:val="24"/>
              </w:rPr>
              <w:t>变更的策划</w:t>
            </w:r>
          </w:p>
          <w:p>
            <w:pPr>
              <w:spacing w:line="240" w:lineRule="auto"/>
              <w:rPr>
                <w:sz w:val="24"/>
                <w:szCs w:val="24"/>
              </w:rPr>
            </w:pPr>
          </w:p>
        </w:tc>
        <w:tc>
          <w:tcPr>
            <w:tcW w:w="960" w:type="dxa"/>
          </w:tcPr>
          <w:p>
            <w:pPr>
              <w:spacing w:line="240" w:lineRule="auto"/>
              <w:rPr>
                <w:rFonts w:hint="eastAsia"/>
                <w:sz w:val="24"/>
                <w:szCs w:val="24"/>
                <w:lang w:val="en-US" w:eastAsia="zh-CN"/>
              </w:rPr>
            </w:pPr>
            <w:r>
              <w:rPr>
                <w:rFonts w:hint="eastAsia"/>
                <w:sz w:val="24"/>
                <w:szCs w:val="24"/>
                <w:lang w:val="en-US" w:eastAsia="zh-CN"/>
              </w:rPr>
              <w:t>QES4.3/4.4;</w:t>
            </w:r>
          </w:p>
          <w:p>
            <w:pPr>
              <w:spacing w:line="240" w:lineRule="auto"/>
              <w:rPr>
                <w:sz w:val="24"/>
                <w:szCs w:val="24"/>
              </w:rPr>
            </w:pPr>
            <w:r>
              <w:rPr>
                <w:rFonts w:hint="eastAsia"/>
                <w:sz w:val="24"/>
                <w:szCs w:val="24"/>
                <w:lang w:val="en-US" w:eastAsia="zh-CN"/>
              </w:rPr>
              <w:t>Q6.3</w:t>
            </w:r>
          </w:p>
        </w:tc>
        <w:tc>
          <w:tcPr>
            <w:tcW w:w="10004" w:type="dxa"/>
          </w:tcPr>
          <w:p>
            <w:pPr>
              <w:spacing w:line="240" w:lineRule="auto"/>
              <w:rPr>
                <w:rFonts w:hint="eastAsia"/>
                <w:sz w:val="24"/>
                <w:szCs w:val="24"/>
                <w:lang w:val="en-US" w:eastAsia="zh-CN"/>
              </w:rPr>
            </w:pPr>
            <w:r>
              <w:rPr>
                <w:rFonts w:hint="eastAsia"/>
                <w:sz w:val="24"/>
                <w:szCs w:val="24"/>
                <w:lang w:val="en-US" w:eastAsia="zh-CN"/>
              </w:rPr>
              <w:t>---查管理手册1.1本手册适用于位于石家庄高新区天山大街585号日中天科技园1702的河北德华医疗器械有限公司的医疗器械和纺织品的销售，医疗器械和纺织品的销售服务及相关活动。</w:t>
            </w:r>
          </w:p>
          <w:p>
            <w:pPr>
              <w:spacing w:line="240" w:lineRule="auto"/>
              <w:rPr>
                <w:rFonts w:hint="eastAsia"/>
                <w:sz w:val="24"/>
                <w:szCs w:val="24"/>
                <w:lang w:val="en-US" w:eastAsia="zh-CN"/>
              </w:rPr>
            </w:pPr>
            <w:r>
              <w:rPr>
                <w:rFonts w:hint="eastAsia"/>
                <w:sz w:val="24"/>
                <w:szCs w:val="24"/>
                <w:lang w:val="en-US" w:eastAsia="zh-CN"/>
              </w:rPr>
              <w:t>即：</w:t>
            </w:r>
          </w:p>
          <w:p>
            <w:pPr>
              <w:spacing w:line="240" w:lineRule="auto"/>
              <w:rPr>
                <w:sz w:val="24"/>
                <w:szCs w:val="24"/>
              </w:rPr>
            </w:pPr>
            <w:bookmarkStart w:id="4" w:name="审核范围"/>
            <w:r>
              <w:rPr>
                <w:sz w:val="24"/>
                <w:szCs w:val="24"/>
              </w:rPr>
              <w:t>Q：医疗器械和纺织品的销售</w:t>
            </w:r>
          </w:p>
          <w:p>
            <w:pPr>
              <w:spacing w:line="240" w:lineRule="auto"/>
              <w:rPr>
                <w:sz w:val="24"/>
                <w:szCs w:val="24"/>
              </w:rPr>
            </w:pPr>
            <w:r>
              <w:rPr>
                <w:sz w:val="24"/>
                <w:szCs w:val="24"/>
              </w:rPr>
              <w:t>E：医疗器械和纺织的销售所涉及场所的相关环境管理活动</w:t>
            </w:r>
          </w:p>
          <w:p>
            <w:pPr>
              <w:pStyle w:val="14"/>
              <w:spacing w:line="240" w:lineRule="auto"/>
              <w:rPr>
                <w:rFonts w:hint="default" w:ascii="Times New Roman" w:hAnsi="Times New Roman"/>
                <w:sz w:val="24"/>
                <w:szCs w:val="24"/>
                <w:lang w:val="en-US" w:eastAsia="zh-CN"/>
              </w:rPr>
            </w:pPr>
            <w:r>
              <w:rPr>
                <w:sz w:val="24"/>
                <w:szCs w:val="24"/>
              </w:rPr>
              <w:t>O：医疗器械和纺织品的销售所涉及场所的相关职业健康安全管理活动</w:t>
            </w:r>
            <w:bookmarkEnd w:id="4"/>
            <w:r>
              <w:rPr>
                <w:rFonts w:hint="eastAsia" w:ascii="Times New Roman" w:hAnsi="Times New Roman"/>
                <w:sz w:val="24"/>
                <w:szCs w:val="24"/>
                <w:lang w:val="en-US" w:eastAsia="zh-CN"/>
              </w:rPr>
              <w:t>：</w:t>
            </w:r>
          </w:p>
          <w:p>
            <w:pPr>
              <w:pStyle w:val="14"/>
              <w:spacing w:line="240" w:lineRule="auto"/>
              <w:rPr>
                <w:rFonts w:hint="default" w:asciiTheme="minorEastAsia" w:hAnsiTheme="minorEastAsia" w:eastAsiaTheme="minorEastAsia"/>
                <w:sz w:val="24"/>
                <w:szCs w:val="24"/>
                <w:lang w:val="en-US" w:eastAsia="zh-CN"/>
              </w:rPr>
            </w:pPr>
            <w:r>
              <w:rPr>
                <w:rFonts w:hint="eastAsia" w:ascii="Times New Roman" w:hAnsi="Times New Roman" w:eastAsia="宋体" w:cs="Times New Roman"/>
                <w:sz w:val="24"/>
                <w:szCs w:val="24"/>
                <w:lang w:val="en-US" w:eastAsia="zh-CN"/>
              </w:rPr>
              <w:t>注册地址：</w:t>
            </w:r>
            <w:bookmarkStart w:id="5" w:name="注册地址"/>
            <w:r>
              <w:rPr>
                <w:rFonts w:asciiTheme="minorEastAsia" w:hAnsiTheme="minorEastAsia" w:eastAsiaTheme="minorEastAsia"/>
                <w:sz w:val="24"/>
                <w:szCs w:val="24"/>
              </w:rPr>
              <w:t>石家庄高新区天山大街585号日中天科技园1702</w:t>
            </w:r>
            <w:bookmarkEnd w:id="5"/>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查营业执照、医疗器械生产许可证确认地址有效。</w:t>
            </w:r>
          </w:p>
          <w:p>
            <w:pPr>
              <w:pStyle w:val="14"/>
              <w:spacing w:line="240" w:lineRule="auto"/>
              <w:rPr>
                <w:rFonts w:hint="eastAsia" w:asciiTheme="minorEastAsia" w:hAnsiTheme="minorEastAsia" w:eastAsiaTheme="minorEastAsia"/>
                <w:sz w:val="24"/>
                <w:szCs w:val="24"/>
                <w:lang w:val="en-US" w:eastAsia="zh-CN"/>
              </w:rPr>
            </w:pPr>
            <w:r>
              <w:rPr>
                <w:rFonts w:hint="eastAsia" w:ascii="Times New Roman" w:hAnsi="Times New Roman" w:cs="Times New Roman"/>
                <w:sz w:val="24"/>
                <w:szCs w:val="24"/>
                <w:lang w:val="en-US" w:eastAsia="zh-CN"/>
              </w:rPr>
              <w:t>经营</w:t>
            </w:r>
            <w:r>
              <w:rPr>
                <w:rFonts w:hint="eastAsia" w:ascii="Times New Roman" w:hAnsi="Times New Roman" w:eastAsia="宋体" w:cs="Times New Roman"/>
                <w:sz w:val="24"/>
                <w:szCs w:val="24"/>
                <w:lang w:val="en-US" w:eastAsia="zh-CN"/>
              </w:rPr>
              <w:t>地址：</w:t>
            </w:r>
            <w:r>
              <w:rPr>
                <w:rFonts w:asciiTheme="minorEastAsia" w:hAnsiTheme="minorEastAsia" w:eastAsiaTheme="minorEastAsia"/>
                <w:sz w:val="24"/>
                <w:szCs w:val="24"/>
              </w:rPr>
              <w:t>石家庄高新区天山大街585号日中天科技园1702</w:t>
            </w:r>
            <w:r>
              <w:rPr>
                <w:rFonts w:hint="eastAsia" w:ascii="Times New Roman" w:hAnsi="Times New Roman" w:cs="Times New Roman"/>
                <w:sz w:val="24"/>
                <w:szCs w:val="24"/>
                <w:lang w:val="en-US" w:eastAsia="zh-CN"/>
              </w:rPr>
              <w:t>；</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查医疗器械生产许可证，远程视频确认地址有效。</w:t>
            </w:r>
          </w:p>
          <w:p>
            <w:pPr>
              <w:pStyle w:val="14"/>
              <w:spacing w:line="240" w:lineRule="auto"/>
              <w:rPr>
                <w:rFonts w:hint="default" w:asciiTheme="minorEastAsia" w:hAnsiTheme="minorEastAsia" w:eastAsiaTheme="minorEastAsia"/>
                <w:sz w:val="24"/>
                <w:szCs w:val="24"/>
                <w:lang w:val="en-US" w:eastAsia="zh-CN"/>
              </w:rPr>
            </w:pPr>
            <w:r>
              <w:rPr>
                <w:sz w:val="24"/>
                <w:szCs w:val="24"/>
              </w:rPr>
              <w:drawing>
                <wp:inline distT="0" distB="0" distL="114300" distR="114300">
                  <wp:extent cx="5547360" cy="250825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5547360" cy="2508250"/>
                          </a:xfrm>
                          <a:prstGeom prst="rect">
                            <a:avLst/>
                          </a:prstGeom>
                          <a:noFill/>
                          <a:ln>
                            <a:noFill/>
                          </a:ln>
                        </pic:spPr>
                      </pic:pic>
                    </a:graphicData>
                  </a:graphic>
                </wp:inline>
              </w:drawing>
            </w:r>
          </w:p>
          <w:p>
            <w:pPr>
              <w:pStyle w:val="14"/>
              <w:spacing w:line="240" w:lineRule="auto"/>
              <w:rPr>
                <w:rFonts w:hint="eastAsia" w:asciiTheme="minorEastAsia" w:hAnsiTheme="minorEastAsia" w:eastAsiaTheme="minorEastAsia"/>
                <w:sz w:val="24"/>
                <w:szCs w:val="24"/>
                <w:lang w:val="en-US" w:eastAsia="zh-CN"/>
              </w:rPr>
            </w:pPr>
            <w:r>
              <w:rPr>
                <w:rFonts w:hint="eastAsia" w:ascii="Times New Roman" w:hAnsi="Times New Roman" w:cs="Times New Roman"/>
                <w:sz w:val="24"/>
                <w:szCs w:val="24"/>
                <w:lang w:val="en-US" w:eastAsia="zh-CN"/>
              </w:rPr>
              <w:t>经核查：企业销售的医疗器械均为公司自行生产注册，因此不适用</w:t>
            </w:r>
            <w:r>
              <w:rPr>
                <w:rFonts w:hint="eastAsia" w:asciiTheme="minorEastAsia" w:hAnsiTheme="minorEastAsia" w:eastAsiaTheme="minorEastAsia"/>
                <w:sz w:val="24"/>
                <w:szCs w:val="24"/>
                <w:lang w:val="en-US" w:eastAsia="zh-CN"/>
              </w:rPr>
              <w:t>医疗器械经营许可证或备案，企业提供有说明文件，如下：</w:t>
            </w:r>
          </w:p>
          <w:p>
            <w:pPr>
              <w:spacing w:line="240" w:lineRule="auto"/>
              <w:jc w:val="left"/>
              <w:rPr>
                <w:sz w:val="24"/>
                <w:szCs w:val="24"/>
              </w:rPr>
            </w:pPr>
            <w:r>
              <w:rPr>
                <w:sz w:val="24"/>
                <w:szCs w:val="24"/>
              </w:rPr>
              <w:drawing>
                <wp:inline distT="0" distB="0" distL="114300" distR="114300">
                  <wp:extent cx="4824730" cy="182880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4824730" cy="1828800"/>
                          </a:xfrm>
                          <a:prstGeom prst="rect">
                            <a:avLst/>
                          </a:prstGeom>
                          <a:noFill/>
                          <a:ln>
                            <a:noFill/>
                          </a:ln>
                        </pic:spPr>
                      </pic:pic>
                    </a:graphicData>
                  </a:graphic>
                </wp:inline>
              </w:drawing>
            </w:r>
          </w:p>
          <w:p>
            <w:pPr>
              <w:spacing w:line="240" w:lineRule="auto"/>
              <w:jc w:val="left"/>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经识别的外包过程：</w:t>
            </w:r>
            <w:r>
              <w:rPr>
                <w:rFonts w:hint="eastAsia" w:cs="Times New Roman"/>
                <w:sz w:val="24"/>
                <w:szCs w:val="24"/>
                <w:highlight w:val="none"/>
                <w:lang w:val="en-US" w:eastAsia="zh-CN"/>
              </w:rPr>
              <w:t>负责人表述，</w:t>
            </w:r>
            <w:r>
              <w:rPr>
                <w:rFonts w:hint="eastAsia" w:ascii="宋体" w:hAnsi="宋体" w:cs="宋体"/>
                <w:kern w:val="0"/>
                <w:sz w:val="24"/>
                <w:szCs w:val="24"/>
                <w:highlight w:val="none"/>
              </w:rPr>
              <w:t>公司暂无外包过程发生</w:t>
            </w:r>
            <w:r>
              <w:rPr>
                <w:rFonts w:hint="eastAsia" w:ascii="宋体" w:hAnsi="宋体" w:cs="宋体"/>
                <w:sz w:val="24"/>
                <w:szCs w:val="24"/>
                <w:highlight w:val="none"/>
              </w:rPr>
              <w:t>。</w:t>
            </w:r>
          </w:p>
          <w:p>
            <w:pPr>
              <w:pStyle w:val="14"/>
              <w:spacing w:line="240" w:lineRule="auto"/>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w:t>
            </w:r>
            <w:r>
              <w:rPr>
                <w:rFonts w:hint="eastAsia" w:ascii="Times New Roman" w:hAnsi="Times New Roman" w:eastAsia="宋体" w:cs="Times New Roman"/>
                <w:sz w:val="24"/>
                <w:szCs w:val="24"/>
                <w:lang w:val="en-US" w:eastAsia="zh-CN"/>
              </w:rPr>
              <w:t>查组</w:t>
            </w:r>
            <w:r>
              <w:rPr>
                <w:rFonts w:hint="eastAsia" w:ascii="Times New Roman" w:hAnsi="Times New Roman" w:eastAsia="宋体" w:cs="Times New Roman"/>
                <w:kern w:val="2"/>
                <w:sz w:val="24"/>
                <w:szCs w:val="24"/>
                <w:lang w:val="en-US" w:eastAsia="zh-CN" w:bidi="ar-SA"/>
              </w:rPr>
              <w:t>织机构图：覆盖的部门为总经理领导下的综合办公室、</w:t>
            </w:r>
            <w:r>
              <w:rPr>
                <w:rFonts w:hint="eastAsia" w:ascii="Times New Roman" w:hAnsi="Times New Roman" w:cs="Times New Roman"/>
                <w:kern w:val="2"/>
                <w:sz w:val="24"/>
                <w:szCs w:val="24"/>
                <w:lang w:val="en-US" w:eastAsia="zh-CN" w:bidi="ar-SA"/>
              </w:rPr>
              <w:t>财务</w:t>
            </w:r>
            <w:r>
              <w:rPr>
                <w:rFonts w:hint="eastAsia" w:ascii="Times New Roman" w:hAnsi="Times New Roman" w:eastAsia="宋体" w:cs="Times New Roman"/>
                <w:kern w:val="2"/>
                <w:sz w:val="24"/>
                <w:szCs w:val="24"/>
                <w:lang w:val="en-US" w:eastAsia="zh-CN" w:bidi="ar-SA"/>
              </w:rPr>
              <w:t>部、</w:t>
            </w:r>
            <w:r>
              <w:rPr>
                <w:rFonts w:hint="eastAsia" w:ascii="Times New Roman" w:hAnsi="Times New Roman" w:cs="Times New Roman"/>
                <w:kern w:val="2"/>
                <w:sz w:val="24"/>
                <w:szCs w:val="24"/>
                <w:lang w:val="en-US" w:eastAsia="zh-CN" w:bidi="ar-SA"/>
              </w:rPr>
              <w:t>供销</w:t>
            </w:r>
            <w:r>
              <w:rPr>
                <w:rFonts w:hint="eastAsia" w:ascii="Times New Roman" w:hAnsi="Times New Roman" w:eastAsia="宋体" w:cs="Times New Roman"/>
                <w:kern w:val="2"/>
                <w:sz w:val="24"/>
                <w:szCs w:val="24"/>
                <w:lang w:val="en-US" w:eastAsia="zh-CN" w:bidi="ar-SA"/>
              </w:rPr>
              <w:t>部组成</w:t>
            </w:r>
            <w:r>
              <w:rPr>
                <w:rFonts w:hint="eastAsia" w:ascii="Times New Roman" w:hAnsi="Times New Roman" w:eastAsia="宋体" w:cs="Times New Roman"/>
                <w:sz w:val="24"/>
                <w:szCs w:val="24"/>
                <w:lang w:val="en-US" w:eastAsia="zh-CN"/>
              </w:rPr>
              <w:t>。</w:t>
            </w:r>
          </w:p>
          <w:p>
            <w:pPr>
              <w:pStyle w:val="14"/>
              <w:spacing w:line="240" w:lineRule="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——针对上述范围再一次与</w:t>
            </w:r>
            <w:r>
              <w:rPr>
                <w:rFonts w:hint="eastAsia" w:ascii="Times New Roman" w:hAnsi="Times New Roman" w:cs="Times New Roman"/>
                <w:sz w:val="24"/>
                <w:szCs w:val="24"/>
                <w:lang w:val="en-US" w:eastAsia="zh-CN"/>
              </w:rPr>
              <w:t>管代</w:t>
            </w:r>
            <w:r>
              <w:rPr>
                <w:rFonts w:hint="eastAsia" w:ascii="Times New Roman" w:hAnsi="Times New Roman" w:eastAsia="宋体" w:cs="Times New Roman"/>
                <w:sz w:val="24"/>
                <w:szCs w:val="24"/>
                <w:lang w:val="en-US" w:eastAsia="zh-CN"/>
              </w:rPr>
              <w:t>进行了确认。</w:t>
            </w:r>
          </w:p>
          <w:p>
            <w:pPr>
              <w:pStyle w:val="14"/>
              <w:spacing w:line="240" w:lineRule="auto"/>
              <w:rPr>
                <w:rFonts w:hint="eastAsia" w:ascii="Times New Roman" w:hAnsi="Times New Roman" w:eastAsia="宋体" w:cs="Times New Roman"/>
                <w:sz w:val="24"/>
                <w:szCs w:val="24"/>
                <w:lang w:val="en-US" w:eastAsia="zh-CN"/>
              </w:rPr>
            </w:pPr>
          </w:p>
          <w:p>
            <w:pPr>
              <w:spacing w:line="240" w:lineRule="auto"/>
              <w:jc w:val="left"/>
              <w:rPr>
                <w:sz w:val="24"/>
                <w:szCs w:val="24"/>
              </w:rPr>
            </w:pPr>
            <w:r>
              <w:rPr>
                <w:rFonts w:hint="eastAsia"/>
                <w:sz w:val="24"/>
                <w:szCs w:val="24"/>
                <w:lang w:val="en-US" w:eastAsia="zh-CN"/>
              </w:rPr>
              <w:t>--</w:t>
            </w:r>
            <w:r>
              <w:rPr>
                <w:rFonts w:hint="eastAsia"/>
                <w:sz w:val="24"/>
                <w:szCs w:val="24"/>
              </w:rPr>
              <w:t>建立管理体系的目的：</w:t>
            </w:r>
          </w:p>
          <w:p>
            <w:pPr>
              <w:spacing w:line="240" w:lineRule="auto"/>
              <w:jc w:val="left"/>
              <w:rPr>
                <w:rFonts w:hint="eastAsia" w:eastAsia="宋体"/>
                <w:sz w:val="24"/>
                <w:szCs w:val="24"/>
                <w:lang w:eastAsia="zh-CN"/>
              </w:rPr>
            </w:pPr>
            <w:r>
              <w:rPr>
                <w:rFonts w:hint="eastAsia"/>
                <w:sz w:val="24"/>
                <w:szCs w:val="24"/>
              </w:rPr>
              <w:t>公司领导说明根据行业招投标要求建立管理体系，也是为了进一步规范企业的管理</w:t>
            </w:r>
            <w:r>
              <w:rPr>
                <w:rFonts w:hint="eastAsia"/>
                <w:sz w:val="24"/>
                <w:szCs w:val="24"/>
                <w:lang w:eastAsia="zh-CN"/>
              </w:rPr>
              <w:t>。</w:t>
            </w:r>
          </w:p>
          <w:p>
            <w:pPr>
              <w:pStyle w:val="14"/>
              <w:spacing w:line="240" w:lineRule="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--建立了管理体系文件，包括：管理手册、程序文件</w:t>
            </w:r>
            <w:r>
              <w:rPr>
                <w:rFonts w:hint="eastAsia" w:ascii="Times New Roman" w:hAnsi="Times New Roman" w:cs="Times New Roman"/>
                <w:sz w:val="24"/>
                <w:szCs w:val="24"/>
                <w:lang w:val="en-US" w:eastAsia="zh-CN"/>
              </w:rPr>
              <w:t>汇编</w:t>
            </w:r>
            <w:r>
              <w:rPr>
                <w:rFonts w:hint="eastAsia" w:ascii="Times New Roman" w:hAnsi="Times New Roman" w:eastAsia="宋体" w:cs="Times New Roman"/>
                <w:sz w:val="24"/>
                <w:szCs w:val="24"/>
                <w:lang w:val="en-US" w:eastAsia="zh-CN"/>
              </w:rPr>
              <w:t>、管理制度汇编--等。</w:t>
            </w:r>
          </w:p>
          <w:p>
            <w:pPr>
              <w:pStyle w:val="14"/>
              <w:spacing w:line="240" w:lineRule="auto"/>
              <w:rPr>
                <w:rFonts w:hint="eastAsia"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w:t>
            </w:r>
            <w:r>
              <w:rPr>
                <w:rFonts w:hint="eastAsia" w:ascii="Times New Roman" w:hAnsi="Times New Roman" w:eastAsia="宋体" w:cs="Times New Roman"/>
                <w:sz w:val="24"/>
                <w:szCs w:val="24"/>
                <w:lang w:val="en-US" w:eastAsia="zh-CN"/>
              </w:rPr>
              <w:t>在管理手册中包括QS整合的方针和目标、组织机构、职能分配表、各部门职责、流程图、管理体系要求等。</w:t>
            </w:r>
          </w:p>
          <w:p>
            <w:pPr>
              <w:pStyle w:val="14"/>
              <w:spacing w:line="240" w:lineRule="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--主要产品实现过程为：</w:t>
            </w:r>
          </w:p>
          <w:p>
            <w:pPr>
              <w:pStyle w:val="14"/>
              <w:spacing w:line="240" w:lineRule="auto"/>
              <w:rPr>
                <w:rFonts w:hint="eastAsia" w:ascii="宋体" w:hAnsi="宋体"/>
                <w:b/>
                <w:sz w:val="24"/>
                <w:szCs w:val="24"/>
              </w:rPr>
            </w:pPr>
            <w:r>
              <w:rPr>
                <w:rFonts w:hint="eastAsia" w:ascii="宋体" w:hAnsi="宋体"/>
                <w:b/>
                <w:sz w:val="24"/>
                <w:szCs w:val="24"/>
              </w:rPr>
              <w:t>业务洽谈→签订合同→备货→验货→出货→客户管理→持续改进</w:t>
            </w:r>
          </w:p>
          <w:p>
            <w:pPr>
              <w:spacing w:line="240" w:lineRule="auto"/>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---查0.1手册管理及说明：</w:t>
            </w:r>
            <w:r>
              <w:rPr>
                <w:rFonts w:hint="eastAsia" w:ascii="Times New Roman" w:hAnsi="Times New Roman" w:eastAsia="宋体" w:cs="Times New Roman"/>
                <w:sz w:val="24"/>
                <w:szCs w:val="24"/>
              </w:rPr>
              <w:t>根据本公司销售和服务特点，涉及全部标准条款（8.3不适用除外），说明：本公司所有产品均根据客户需求采购，本公司仅对产品进行销售，不存在设计开发，不免除本公司销售产品服务过程的相应责任及承担的法律义务，故8.3不适用合理。</w:t>
            </w:r>
          </w:p>
          <w:p>
            <w:pPr>
              <w:spacing w:line="240" w:lineRule="auto"/>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对于本公司的外包过程也进行了充分识别，就公司目前运营情况，本公司无外包过程。</w:t>
            </w:r>
          </w:p>
          <w:p>
            <w:pPr>
              <w:spacing w:line="240" w:lineRule="auto"/>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根据本公司的销售和服务活动特点，经分析，确认销售服务为特殊过程。</w:t>
            </w:r>
          </w:p>
          <w:p>
            <w:pPr>
              <w:spacing w:line="240" w:lineRule="auto"/>
              <w:jc w:val="left"/>
              <w:rPr>
                <w:rFonts w:hint="eastAsia" w:ascii="Times New Roman" w:hAnsi="Times New Roman" w:eastAsia="宋体" w:cs="Times New Roman"/>
                <w:sz w:val="24"/>
                <w:szCs w:val="24"/>
              </w:rPr>
            </w:pPr>
          </w:p>
          <w:p>
            <w:pPr>
              <w:pStyle w:val="14"/>
              <w:spacing w:line="240" w:lineRule="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---变更的策划：管代说明本监督年度管理体系至今无变化。</w:t>
            </w:r>
          </w:p>
          <w:p>
            <w:pPr>
              <w:spacing w:line="240" w:lineRule="auto"/>
              <w:rPr>
                <w:sz w:val="24"/>
                <w:szCs w:val="24"/>
              </w:rPr>
            </w:pPr>
            <w:r>
              <w:rPr>
                <w:rFonts w:hint="eastAsia" w:ascii="Times New Roman" w:hAnsi="Times New Roman" w:eastAsia="宋体" w:cs="Times New Roman"/>
                <w:sz w:val="24"/>
                <w:szCs w:val="24"/>
                <w:lang w:val="en-US" w:eastAsia="zh-CN"/>
              </w:rPr>
              <w:t>——上述经本次</w:t>
            </w:r>
            <w:r>
              <w:rPr>
                <w:rFonts w:hint="eastAsia" w:ascii="Times New Roman" w:hAnsi="Times New Roman" w:cs="Times New Roman"/>
                <w:sz w:val="24"/>
                <w:szCs w:val="24"/>
                <w:lang w:val="en-US" w:eastAsia="zh-CN"/>
              </w:rPr>
              <w:t>远程</w:t>
            </w:r>
            <w:r>
              <w:rPr>
                <w:rFonts w:hint="eastAsia" w:ascii="Times New Roman" w:hAnsi="Times New Roman" w:eastAsia="宋体" w:cs="Times New Roman"/>
                <w:sz w:val="24"/>
                <w:szCs w:val="24"/>
                <w:lang w:val="en-US" w:eastAsia="zh-CN"/>
              </w:rPr>
              <w:t>审核确认有效</w:t>
            </w:r>
            <w:r>
              <w:rPr>
                <w:rFonts w:hint="eastAsia" w:ascii="Times New Roman" w:hAnsi="Times New Roman" w:cs="Times New Roman"/>
                <w:sz w:val="24"/>
                <w:szCs w:val="24"/>
                <w:lang w:val="en-US" w:eastAsia="zh-CN"/>
              </w:rPr>
              <w:t>。</w:t>
            </w:r>
          </w:p>
        </w:tc>
        <w:tc>
          <w:tcPr>
            <w:tcW w:w="1585" w:type="dxa"/>
          </w:tcPr>
          <w:p>
            <w:pPr>
              <w:spacing w:line="240" w:lineRule="auto"/>
              <w:rPr>
                <w:rFonts w:hint="eastAsia" w:eastAsia="宋体"/>
                <w:sz w:val="24"/>
                <w:szCs w:val="24"/>
                <w:lang w:val="en-US" w:eastAsia="zh-CN"/>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40" w:lineRule="auto"/>
              <w:rPr>
                <w:rFonts w:hint="eastAsia"/>
                <w:sz w:val="24"/>
                <w:szCs w:val="24"/>
              </w:rPr>
            </w:pPr>
            <w:r>
              <w:rPr>
                <w:rFonts w:hint="eastAsia"/>
                <w:sz w:val="24"/>
                <w:szCs w:val="24"/>
              </w:rPr>
              <w:t>领导作用和承诺</w:t>
            </w:r>
          </w:p>
          <w:p>
            <w:pPr>
              <w:spacing w:line="240" w:lineRule="auto"/>
              <w:rPr>
                <w:rFonts w:hint="eastAsia"/>
                <w:sz w:val="24"/>
                <w:szCs w:val="24"/>
              </w:rPr>
            </w:pPr>
            <w:r>
              <w:rPr>
                <w:rFonts w:hint="eastAsia"/>
                <w:sz w:val="24"/>
                <w:szCs w:val="24"/>
              </w:rPr>
              <w:t>岗位、职责、责任和权限</w:t>
            </w:r>
          </w:p>
          <w:p>
            <w:pPr>
              <w:spacing w:line="240" w:lineRule="auto"/>
              <w:rPr>
                <w:sz w:val="24"/>
                <w:szCs w:val="24"/>
              </w:rPr>
            </w:pPr>
          </w:p>
        </w:tc>
        <w:tc>
          <w:tcPr>
            <w:tcW w:w="960" w:type="dxa"/>
          </w:tcPr>
          <w:p>
            <w:pPr>
              <w:spacing w:line="240" w:lineRule="auto"/>
              <w:rPr>
                <w:rFonts w:hint="eastAsia"/>
                <w:sz w:val="24"/>
                <w:szCs w:val="24"/>
                <w:lang w:val="en-US" w:eastAsia="zh-CN"/>
              </w:rPr>
            </w:pPr>
            <w:r>
              <w:rPr>
                <w:rFonts w:hint="eastAsia"/>
                <w:sz w:val="24"/>
                <w:szCs w:val="24"/>
                <w:lang w:val="en-US" w:eastAsia="zh-CN"/>
              </w:rPr>
              <w:t>QES5.1/5.3</w:t>
            </w:r>
          </w:p>
          <w:p>
            <w:pPr>
              <w:spacing w:line="240" w:lineRule="auto"/>
              <w:rPr>
                <w:sz w:val="24"/>
                <w:szCs w:val="24"/>
              </w:rPr>
            </w:pPr>
          </w:p>
        </w:tc>
        <w:tc>
          <w:tcPr>
            <w:tcW w:w="10004" w:type="dxa"/>
          </w:tcPr>
          <w:p>
            <w:pPr>
              <w:spacing w:line="240" w:lineRule="auto"/>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rPr>
              <w:t>―查“质量环境职业健安全管理手册”中包括管理体系标准要求的领导作用和承诺内容</w:t>
            </w:r>
            <w:r>
              <w:rPr>
                <w:rFonts w:hint="eastAsia" w:ascii="Times New Roman" w:hAnsi="Times New Roman" w:eastAsia="宋体" w:cs="Times New Roman"/>
                <w:sz w:val="24"/>
                <w:szCs w:val="24"/>
                <w:lang w:eastAsia="zh-CN"/>
              </w:rPr>
              <w:t>。</w:t>
            </w:r>
          </w:p>
          <w:p>
            <w:pPr>
              <w:spacing w:line="240" w:lineRule="auto"/>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rPr>
              <w:t>查管理手册中包括管理者代表任命书，并规定了其职责，管代口述职责，正确</w:t>
            </w:r>
            <w:r>
              <w:rPr>
                <w:rFonts w:hint="eastAsia" w:ascii="Times New Roman" w:hAnsi="Times New Roman" w:eastAsia="宋体" w:cs="Times New Roman"/>
                <w:sz w:val="24"/>
                <w:szCs w:val="24"/>
                <w:lang w:eastAsia="zh-CN"/>
              </w:rPr>
              <w:t>。</w:t>
            </w:r>
          </w:p>
          <w:p>
            <w:pPr>
              <w:spacing w:line="240" w:lineRule="auto"/>
              <w:jc w:val="left"/>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rPr>
              <w:t>查管理手册中包括员工代表任命书，并规定了其职责，员工代表口述职责，正确</w:t>
            </w:r>
            <w:r>
              <w:rPr>
                <w:rFonts w:hint="eastAsia" w:ascii="Times New Roman" w:hAnsi="Times New Roman" w:eastAsia="宋体" w:cs="Times New Roman"/>
                <w:sz w:val="24"/>
                <w:szCs w:val="24"/>
                <w:lang w:eastAsia="zh-CN"/>
              </w:rPr>
              <w:t>。</w:t>
            </w:r>
          </w:p>
          <w:p>
            <w:pPr>
              <w:spacing w:line="240" w:lineRule="auto"/>
              <w:jc w:val="left"/>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rPr>
              <w:t>查管理手册中包括ＱＳ方针、目标、组织机构、职责等</w:t>
            </w:r>
            <w:r>
              <w:rPr>
                <w:rFonts w:hint="eastAsia" w:ascii="Times New Roman" w:hAnsi="Times New Roman" w:eastAsia="宋体" w:cs="Times New Roman"/>
                <w:sz w:val="24"/>
                <w:szCs w:val="24"/>
                <w:lang w:eastAsia="zh-CN"/>
              </w:rPr>
              <w:t>。</w:t>
            </w:r>
          </w:p>
          <w:p>
            <w:pPr>
              <w:spacing w:line="240" w:lineRule="auto"/>
              <w:jc w:val="left"/>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---查顾客满意度统计及分析报告，调查与分析结果，实现预期。</w:t>
            </w:r>
          </w:p>
          <w:p>
            <w:pPr>
              <w:spacing w:line="240" w:lineRule="auto"/>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能够提供管理体系建立、运行的资源；实施内审、管理评审等。</w:t>
            </w:r>
          </w:p>
          <w:p>
            <w:pPr>
              <w:spacing w:line="240" w:lineRule="auto"/>
              <w:rPr>
                <w:sz w:val="24"/>
                <w:szCs w:val="24"/>
              </w:rPr>
            </w:pP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符合</w:t>
            </w:r>
          </w:p>
        </w:tc>
        <w:tc>
          <w:tcPr>
            <w:tcW w:w="1585" w:type="dxa"/>
          </w:tcPr>
          <w:p>
            <w:pPr>
              <w:spacing w:line="240" w:lineRule="auto"/>
              <w:rPr>
                <w:rFonts w:hint="eastAsia" w:eastAsia="宋体"/>
                <w:sz w:val="24"/>
                <w:szCs w:val="24"/>
                <w:lang w:val="en-US" w:eastAsia="zh-CN"/>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40" w:lineRule="auto"/>
              <w:rPr>
                <w:sz w:val="24"/>
                <w:szCs w:val="24"/>
              </w:rPr>
            </w:pPr>
            <w:r>
              <w:rPr>
                <w:rFonts w:hint="eastAsia" w:ascii="宋体" w:hAnsi="宋体"/>
                <w:sz w:val="24"/>
                <w:szCs w:val="24"/>
              </w:rPr>
              <w:t>管理方针、目标</w:t>
            </w:r>
          </w:p>
        </w:tc>
        <w:tc>
          <w:tcPr>
            <w:tcW w:w="960" w:type="dxa"/>
          </w:tcPr>
          <w:p>
            <w:pPr>
              <w:spacing w:line="240" w:lineRule="auto"/>
              <w:rPr>
                <w:rFonts w:hint="default"/>
                <w:sz w:val="24"/>
                <w:szCs w:val="24"/>
                <w:lang w:val="en-US" w:eastAsia="zh-CN"/>
              </w:rPr>
            </w:pPr>
            <w:r>
              <w:rPr>
                <w:rFonts w:hint="eastAsia"/>
                <w:sz w:val="24"/>
                <w:szCs w:val="24"/>
                <w:lang w:val="en-US" w:eastAsia="zh-CN"/>
              </w:rPr>
              <w:t>QES5.2/6.2</w:t>
            </w:r>
          </w:p>
          <w:p>
            <w:pPr>
              <w:spacing w:line="240" w:lineRule="auto"/>
              <w:rPr>
                <w:sz w:val="24"/>
                <w:szCs w:val="24"/>
              </w:rPr>
            </w:pPr>
          </w:p>
        </w:tc>
        <w:tc>
          <w:tcPr>
            <w:tcW w:w="10004" w:type="dxa"/>
          </w:tcPr>
          <w:p>
            <w:pPr>
              <w:spacing w:line="240" w:lineRule="auto"/>
              <w:jc w:val="left"/>
              <w:rPr>
                <w:rFonts w:hint="eastAsia"/>
                <w:sz w:val="24"/>
                <w:szCs w:val="24"/>
                <w:lang w:eastAsia="zh-CN"/>
              </w:rPr>
            </w:pPr>
            <w:r>
              <w:rPr>
                <w:rFonts w:hint="eastAsia"/>
                <w:sz w:val="24"/>
                <w:szCs w:val="24"/>
                <w:lang w:val="en-US" w:eastAsia="zh-CN"/>
              </w:rPr>
              <w:t>---</w:t>
            </w:r>
            <w:r>
              <w:rPr>
                <w:rFonts w:hint="eastAsia"/>
                <w:sz w:val="24"/>
                <w:szCs w:val="24"/>
              </w:rPr>
              <w:t>在管理手册中建立公司的质量、环境和职业健康安全管理方针和目标，基本适宜</w:t>
            </w:r>
            <w:r>
              <w:rPr>
                <w:rFonts w:hint="eastAsia"/>
                <w:sz w:val="24"/>
                <w:szCs w:val="24"/>
                <w:lang w:eastAsia="zh-CN"/>
              </w:rPr>
              <w:t>。</w:t>
            </w:r>
          </w:p>
          <w:p>
            <w:pPr>
              <w:spacing w:line="240" w:lineRule="auto"/>
              <w:jc w:val="left"/>
              <w:rPr>
                <w:rFonts w:hint="eastAsia"/>
                <w:sz w:val="24"/>
                <w:szCs w:val="24"/>
              </w:rPr>
            </w:pPr>
            <w:r>
              <w:rPr>
                <w:rFonts w:hint="eastAsia"/>
                <w:sz w:val="24"/>
                <w:szCs w:val="24"/>
              </w:rPr>
              <w:t>管理方针：</w:t>
            </w:r>
          </w:p>
          <w:p>
            <w:pPr>
              <w:spacing w:line="240" w:lineRule="auto"/>
              <w:jc w:val="left"/>
              <w:rPr>
                <w:rFonts w:hint="eastAsia"/>
                <w:sz w:val="24"/>
                <w:szCs w:val="24"/>
              </w:rPr>
            </w:pPr>
            <w:r>
              <w:rPr>
                <w:rFonts w:hint="eastAsia"/>
                <w:sz w:val="24"/>
                <w:szCs w:val="24"/>
              </w:rPr>
              <w:t>营造绿色环境、提高环境意识；推进节能降耗、达到持续改进；</w:t>
            </w:r>
          </w:p>
          <w:p>
            <w:pPr>
              <w:spacing w:line="240" w:lineRule="auto"/>
              <w:jc w:val="left"/>
              <w:rPr>
                <w:rFonts w:hint="eastAsia"/>
                <w:sz w:val="24"/>
                <w:szCs w:val="24"/>
              </w:rPr>
            </w:pPr>
            <w:r>
              <w:rPr>
                <w:rFonts w:hint="eastAsia"/>
                <w:sz w:val="24"/>
                <w:szCs w:val="24"/>
              </w:rPr>
              <w:t>关爱员工健康，防范安全风险；倡导以人为本，推进持续发展</w:t>
            </w:r>
          </w:p>
          <w:p>
            <w:pPr>
              <w:spacing w:line="240" w:lineRule="auto"/>
              <w:jc w:val="left"/>
              <w:rPr>
                <w:rFonts w:hint="eastAsia"/>
                <w:sz w:val="24"/>
                <w:szCs w:val="24"/>
              </w:rPr>
            </w:pPr>
            <w:r>
              <w:rPr>
                <w:rFonts w:hint="eastAsia"/>
                <w:sz w:val="24"/>
                <w:szCs w:val="24"/>
                <w:lang w:val="en-US" w:eastAsia="zh-CN"/>
              </w:rPr>
              <w:t>——</w:t>
            </w:r>
            <w:r>
              <w:rPr>
                <w:rFonts w:hint="eastAsia"/>
                <w:sz w:val="24"/>
                <w:szCs w:val="24"/>
              </w:rPr>
              <w:t>ＱＥＳ方针与公司战略相适宜</w:t>
            </w:r>
            <w:r>
              <w:rPr>
                <w:rFonts w:hint="eastAsia"/>
                <w:sz w:val="24"/>
                <w:szCs w:val="24"/>
                <w:lang w:eastAsia="zh-CN"/>
              </w:rPr>
              <w:t>。</w:t>
            </w:r>
            <w:r>
              <w:rPr>
                <w:rFonts w:hint="eastAsia"/>
                <w:sz w:val="24"/>
                <w:szCs w:val="24"/>
              </w:rPr>
              <w:t xml:space="preserve"> </w:t>
            </w:r>
          </w:p>
          <w:p>
            <w:pPr>
              <w:spacing w:line="240" w:lineRule="auto"/>
              <w:jc w:val="left"/>
              <w:rPr>
                <w:rFonts w:hint="eastAsia"/>
                <w:sz w:val="24"/>
                <w:szCs w:val="24"/>
              </w:rPr>
            </w:pPr>
            <w:r>
              <w:rPr>
                <w:rFonts w:hint="eastAsia"/>
                <w:sz w:val="24"/>
                <w:szCs w:val="24"/>
              </w:rPr>
              <w:t>管理目标：</w:t>
            </w:r>
          </w:p>
          <w:p>
            <w:pPr>
              <w:spacing w:line="240" w:lineRule="auto"/>
              <w:jc w:val="left"/>
              <w:rPr>
                <w:rFonts w:hint="eastAsia"/>
                <w:sz w:val="24"/>
                <w:szCs w:val="24"/>
              </w:rPr>
            </w:pPr>
            <w:r>
              <w:rPr>
                <w:rFonts w:hint="eastAsia"/>
                <w:sz w:val="24"/>
                <w:szCs w:val="24"/>
              </w:rPr>
              <w:t xml:space="preserve"> 一、质量目标：</w:t>
            </w:r>
          </w:p>
          <w:p>
            <w:pPr>
              <w:spacing w:line="240" w:lineRule="auto"/>
              <w:jc w:val="left"/>
              <w:rPr>
                <w:rFonts w:hint="eastAsia"/>
                <w:sz w:val="24"/>
                <w:szCs w:val="24"/>
              </w:rPr>
            </w:pPr>
            <w:r>
              <w:rPr>
                <w:rFonts w:hint="eastAsia"/>
                <w:sz w:val="24"/>
                <w:szCs w:val="24"/>
              </w:rPr>
              <w:t xml:space="preserve">1、产品交付合格率≥98% </w:t>
            </w:r>
          </w:p>
          <w:p>
            <w:pPr>
              <w:spacing w:line="240" w:lineRule="auto"/>
              <w:jc w:val="left"/>
              <w:rPr>
                <w:rFonts w:hint="eastAsia"/>
                <w:sz w:val="24"/>
                <w:szCs w:val="24"/>
              </w:rPr>
            </w:pPr>
            <w:r>
              <w:rPr>
                <w:rFonts w:hint="eastAsia"/>
                <w:sz w:val="24"/>
                <w:szCs w:val="24"/>
              </w:rPr>
              <w:t xml:space="preserve">2、顾客满意率≥95%  </w:t>
            </w:r>
          </w:p>
          <w:p>
            <w:pPr>
              <w:spacing w:line="240" w:lineRule="auto"/>
              <w:jc w:val="left"/>
              <w:rPr>
                <w:rFonts w:hint="eastAsia"/>
                <w:sz w:val="24"/>
                <w:szCs w:val="24"/>
              </w:rPr>
            </w:pPr>
            <w:r>
              <w:rPr>
                <w:rFonts w:hint="eastAsia"/>
                <w:sz w:val="24"/>
                <w:szCs w:val="24"/>
              </w:rPr>
              <w:t>二、环境目标：遵守法律法规，坚持以节约、高效、环保为核心的商业模式，满足环境规定要求，确保社会和相关方满意。</w:t>
            </w:r>
          </w:p>
          <w:p>
            <w:pPr>
              <w:spacing w:line="240" w:lineRule="auto"/>
              <w:jc w:val="left"/>
              <w:rPr>
                <w:rFonts w:hint="eastAsia"/>
                <w:sz w:val="24"/>
                <w:szCs w:val="24"/>
              </w:rPr>
            </w:pPr>
            <w:r>
              <w:rPr>
                <w:rFonts w:hint="eastAsia"/>
                <w:sz w:val="24"/>
                <w:szCs w:val="24"/>
              </w:rPr>
              <w:t xml:space="preserve"> 指标：各类废弃物按规定处置率100%</w:t>
            </w:r>
          </w:p>
          <w:p>
            <w:pPr>
              <w:spacing w:line="240" w:lineRule="auto"/>
              <w:jc w:val="left"/>
              <w:rPr>
                <w:rFonts w:hint="eastAsia"/>
                <w:sz w:val="24"/>
                <w:szCs w:val="24"/>
              </w:rPr>
            </w:pPr>
            <w:r>
              <w:rPr>
                <w:rFonts w:hint="eastAsia"/>
                <w:sz w:val="24"/>
                <w:szCs w:val="24"/>
              </w:rPr>
              <w:t>三、职业健康安全目标：确保员工职业健康安全.</w:t>
            </w:r>
          </w:p>
          <w:p>
            <w:pPr>
              <w:spacing w:line="240" w:lineRule="auto"/>
              <w:jc w:val="left"/>
              <w:rPr>
                <w:rFonts w:hint="eastAsia"/>
                <w:sz w:val="24"/>
                <w:szCs w:val="24"/>
              </w:rPr>
            </w:pPr>
            <w:r>
              <w:rPr>
                <w:rFonts w:hint="eastAsia"/>
                <w:sz w:val="24"/>
                <w:szCs w:val="24"/>
              </w:rPr>
              <w:t xml:space="preserve">     指标：重大安全事故为0</w:t>
            </w:r>
          </w:p>
          <w:p>
            <w:pPr>
              <w:spacing w:line="240" w:lineRule="auto"/>
              <w:jc w:val="left"/>
              <w:rPr>
                <w:rFonts w:hint="eastAsia" w:eastAsia="宋体"/>
                <w:sz w:val="24"/>
                <w:szCs w:val="24"/>
                <w:lang w:eastAsia="zh-CN"/>
              </w:rPr>
            </w:pPr>
            <w:r>
              <w:rPr>
                <w:rFonts w:hint="eastAsia" w:cs="Times New Roman"/>
                <w:sz w:val="24"/>
                <w:szCs w:val="24"/>
                <w:lang w:val="en-US" w:eastAsia="zh-CN"/>
              </w:rPr>
              <w:t>——</w:t>
            </w:r>
            <w:r>
              <w:rPr>
                <w:rFonts w:hint="eastAsia" w:ascii="Times New Roman" w:hAnsi="Times New Roman" w:eastAsia="宋体" w:cs="Times New Roman"/>
                <w:sz w:val="24"/>
                <w:szCs w:val="24"/>
              </w:rPr>
              <w:t>目标可测量</w:t>
            </w:r>
            <w:r>
              <w:rPr>
                <w:rFonts w:hint="eastAsia" w:cs="Times New Roman"/>
                <w:sz w:val="24"/>
                <w:szCs w:val="24"/>
                <w:lang w:eastAsia="zh-CN"/>
              </w:rPr>
              <w:t>。</w:t>
            </w:r>
          </w:p>
          <w:p>
            <w:pPr>
              <w:spacing w:line="240" w:lineRule="auto"/>
              <w:jc w:val="left"/>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rPr>
              <w:t>通过发放文件、会议（每周部门会议，每月公司会议）、培训等方式向员工传达，使得员工理解和应用</w:t>
            </w:r>
            <w:r>
              <w:rPr>
                <w:rFonts w:hint="eastAsia" w:ascii="Times New Roman" w:hAnsi="Times New Roman" w:eastAsia="宋体" w:cs="Times New Roman"/>
                <w:sz w:val="24"/>
                <w:szCs w:val="24"/>
                <w:lang w:eastAsia="zh-CN"/>
              </w:rPr>
              <w:t>。</w:t>
            </w:r>
          </w:p>
          <w:p>
            <w:pPr>
              <w:spacing w:line="240" w:lineRule="auto"/>
              <w:jc w:val="left"/>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rPr>
              <w:t>建立管理体系，以实现公司的目标</w:t>
            </w:r>
            <w:r>
              <w:rPr>
                <w:rFonts w:hint="eastAsia" w:ascii="Times New Roman" w:hAnsi="Times New Roman" w:eastAsia="宋体" w:cs="Times New Roman"/>
                <w:sz w:val="24"/>
                <w:szCs w:val="24"/>
                <w:lang w:eastAsia="zh-CN"/>
              </w:rPr>
              <w:t>。</w:t>
            </w:r>
          </w:p>
          <w:p>
            <w:pPr>
              <w:spacing w:line="240" w:lineRule="auto"/>
              <w:jc w:val="left"/>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rPr>
              <w:t>管理评审中对适宜性进行评审</w:t>
            </w:r>
            <w:r>
              <w:rPr>
                <w:rFonts w:hint="eastAsia" w:ascii="Times New Roman" w:hAnsi="Times New Roman" w:eastAsia="宋体" w:cs="Times New Roman"/>
                <w:sz w:val="24"/>
                <w:szCs w:val="24"/>
                <w:lang w:eastAsia="zh-CN"/>
              </w:rPr>
              <w:t>。</w:t>
            </w:r>
          </w:p>
          <w:p>
            <w:pPr>
              <w:spacing w:line="240" w:lineRule="auto"/>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管理方针、目标</w:t>
            </w:r>
            <w:r>
              <w:rPr>
                <w:rFonts w:hint="eastAsia" w:ascii="Times New Roman" w:hAnsi="Times New Roman" w:eastAsia="宋体" w:cs="Times New Roman"/>
                <w:sz w:val="24"/>
                <w:szCs w:val="24"/>
                <w:lang w:val="en-US" w:eastAsia="zh-CN"/>
              </w:rPr>
              <w:t>及其实现的策划基本有效。</w:t>
            </w:r>
          </w:p>
        </w:tc>
        <w:tc>
          <w:tcPr>
            <w:tcW w:w="1585" w:type="dxa"/>
          </w:tcPr>
          <w:p>
            <w:pPr>
              <w:spacing w:line="240" w:lineRule="auto"/>
              <w:rPr>
                <w:rFonts w:hint="eastAsia" w:eastAsia="宋体"/>
                <w:sz w:val="24"/>
                <w:szCs w:val="24"/>
                <w:lang w:val="en-US" w:eastAsia="zh-CN"/>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40" w:lineRule="auto"/>
              <w:rPr>
                <w:sz w:val="24"/>
                <w:szCs w:val="24"/>
              </w:rPr>
            </w:pPr>
            <w:r>
              <w:rPr>
                <w:rFonts w:hint="eastAsia" w:ascii="宋体" w:hAnsi="宋体"/>
                <w:sz w:val="24"/>
                <w:szCs w:val="24"/>
                <w:highlight w:val="none"/>
                <w:lang w:val="en-US" w:eastAsia="zh-CN"/>
              </w:rPr>
              <w:t>资源</w:t>
            </w:r>
          </w:p>
        </w:tc>
        <w:tc>
          <w:tcPr>
            <w:tcW w:w="960" w:type="dxa"/>
          </w:tcPr>
          <w:p>
            <w:pPr>
              <w:spacing w:line="240" w:lineRule="auto"/>
              <w:rPr>
                <w:rFonts w:hint="eastAsia"/>
                <w:sz w:val="24"/>
                <w:szCs w:val="24"/>
                <w:highlight w:val="none"/>
                <w:lang w:val="en-US" w:eastAsia="zh-CN"/>
              </w:rPr>
            </w:pPr>
            <w:r>
              <w:rPr>
                <w:rFonts w:hint="eastAsia"/>
                <w:sz w:val="24"/>
                <w:szCs w:val="24"/>
                <w:highlight w:val="none"/>
                <w:lang w:val="en-US" w:eastAsia="zh-CN"/>
              </w:rPr>
              <w:t>Q7.1</w:t>
            </w:r>
          </w:p>
          <w:p>
            <w:pPr>
              <w:pStyle w:val="2"/>
              <w:spacing w:line="240" w:lineRule="auto"/>
              <w:rPr>
                <w:rFonts w:hint="default"/>
                <w:sz w:val="24"/>
                <w:szCs w:val="24"/>
                <w:highlight w:val="none"/>
                <w:lang w:val="en-US" w:eastAsia="zh-CN"/>
              </w:rPr>
            </w:pPr>
            <w:r>
              <w:rPr>
                <w:rFonts w:hint="eastAsia"/>
                <w:sz w:val="24"/>
                <w:szCs w:val="24"/>
                <w:highlight w:val="none"/>
                <w:lang w:val="en-US" w:eastAsia="zh-CN"/>
              </w:rPr>
              <w:t>ES7.1.1</w:t>
            </w:r>
          </w:p>
          <w:p>
            <w:pPr>
              <w:spacing w:line="240" w:lineRule="auto"/>
              <w:rPr>
                <w:sz w:val="24"/>
                <w:szCs w:val="24"/>
              </w:rPr>
            </w:pPr>
          </w:p>
        </w:tc>
        <w:tc>
          <w:tcPr>
            <w:tcW w:w="10004" w:type="dxa"/>
          </w:tcPr>
          <w:p>
            <w:pPr>
              <w:spacing w:line="240" w:lineRule="auto"/>
              <w:rPr>
                <w:rFonts w:hint="default"/>
                <w:lang w:val="en-US" w:eastAsia="zh-CN"/>
              </w:rPr>
            </w:pPr>
            <w:r>
              <w:rPr>
                <w:rFonts w:hint="eastAsia"/>
                <w:lang w:val="en-US" w:eastAsia="zh-CN"/>
              </w:rPr>
              <w:t>办公场地为租赁，含车间一共794平，配备有空调、台式电脑、笔记本电脑（联想）、惠普复打印一体机等生产办公设备及销售服务规范、管理人员评估考核表、工作质量检查表等监视测量文件和记录。——经专业审核员确认，资源满足要求。</w:t>
            </w:r>
          </w:p>
          <w:p>
            <w:pPr>
              <w:pStyle w:val="2"/>
              <w:rPr>
                <w:rFonts w:hint="default" w:cs="Times New Roman"/>
                <w:sz w:val="24"/>
                <w:szCs w:val="24"/>
                <w:lang w:val="en-US" w:eastAsia="zh-CN"/>
              </w:rPr>
            </w:pPr>
          </w:p>
        </w:tc>
        <w:tc>
          <w:tcPr>
            <w:tcW w:w="1585" w:type="dxa"/>
          </w:tcPr>
          <w:p>
            <w:pPr>
              <w:spacing w:line="240" w:lineRule="auto"/>
              <w:rPr>
                <w:rFonts w:hint="eastAsia" w:eastAsia="宋体"/>
                <w:sz w:val="24"/>
                <w:szCs w:val="24"/>
                <w:lang w:val="en-US" w:eastAsia="zh-CN"/>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40" w:lineRule="auto"/>
              <w:rPr>
                <w:rFonts w:hint="eastAsia" w:ascii="宋体" w:hAnsi="宋体"/>
                <w:sz w:val="24"/>
                <w:szCs w:val="24"/>
                <w:highlight w:val="none"/>
                <w:lang w:val="en-US" w:eastAsia="zh-CN"/>
              </w:rPr>
            </w:pPr>
            <w:r>
              <w:rPr>
                <w:rFonts w:hint="eastAsia" w:ascii="宋体" w:hAnsi="宋体"/>
                <w:sz w:val="24"/>
                <w:szCs w:val="24"/>
                <w:lang w:val="en-US" w:eastAsia="zh-CN"/>
              </w:rPr>
              <w:t>管理评审的策划及实施情况</w:t>
            </w:r>
          </w:p>
        </w:tc>
        <w:tc>
          <w:tcPr>
            <w:tcW w:w="960" w:type="dxa"/>
          </w:tcPr>
          <w:p>
            <w:pPr>
              <w:spacing w:line="240" w:lineRule="auto"/>
              <w:rPr>
                <w:sz w:val="24"/>
                <w:szCs w:val="24"/>
              </w:rPr>
            </w:pPr>
            <w:r>
              <w:rPr>
                <w:rFonts w:hint="eastAsia"/>
                <w:sz w:val="24"/>
                <w:szCs w:val="24"/>
                <w:lang w:val="en-US" w:eastAsia="zh-CN"/>
              </w:rPr>
              <w:t>QES9.3</w:t>
            </w:r>
          </w:p>
        </w:tc>
        <w:tc>
          <w:tcPr>
            <w:tcW w:w="10004" w:type="dxa"/>
          </w:tcPr>
          <w:p>
            <w:pPr>
              <w:spacing w:line="240" w:lineRule="auto"/>
              <w:jc w:val="left"/>
              <w:rPr>
                <w:rFonts w:hint="eastAsia"/>
                <w:sz w:val="24"/>
                <w:szCs w:val="24"/>
                <w:lang w:val="en-US" w:eastAsia="zh-CN"/>
              </w:rPr>
            </w:pPr>
            <w:r>
              <w:rPr>
                <w:rFonts w:hint="eastAsia"/>
                <w:sz w:val="24"/>
                <w:szCs w:val="24"/>
                <w:lang w:val="en-US" w:eastAsia="zh-CN"/>
              </w:rPr>
              <w:t>---查公司策划了：管理评审控制程序。</w:t>
            </w:r>
          </w:p>
          <w:p>
            <w:pPr>
              <w:spacing w:line="240" w:lineRule="auto"/>
              <w:jc w:val="left"/>
              <w:rPr>
                <w:rFonts w:hint="eastAsia"/>
                <w:sz w:val="24"/>
                <w:szCs w:val="24"/>
                <w:lang w:val="en-US" w:eastAsia="zh-CN"/>
              </w:rPr>
            </w:pPr>
            <w:r>
              <w:rPr>
                <w:rFonts w:hint="eastAsia"/>
                <w:sz w:val="24"/>
                <w:szCs w:val="24"/>
                <w:lang w:val="en-US" w:eastAsia="zh-CN"/>
              </w:rPr>
              <w:t>---管理评审的实施情况：提供了相应的记录，如下：</w:t>
            </w:r>
          </w:p>
          <w:p>
            <w:pPr>
              <w:spacing w:line="240" w:lineRule="auto"/>
              <w:jc w:val="left"/>
              <w:rPr>
                <w:rFonts w:hint="default" w:ascii="Times New Roman" w:hAnsi="Times New Roman" w:eastAsia="宋体" w:cs="Times New Roman"/>
                <w:sz w:val="24"/>
                <w:szCs w:val="24"/>
                <w:lang w:val="en-US" w:eastAsia="zh-CN"/>
              </w:rPr>
            </w:pPr>
            <w:r>
              <w:rPr>
                <w:rFonts w:hint="default"/>
                <w:sz w:val="24"/>
                <w:szCs w:val="24"/>
                <w:lang w:val="en-US" w:eastAsia="zh-CN"/>
              </w:rPr>
              <w:t>公司在</w:t>
            </w:r>
            <w:r>
              <w:rPr>
                <w:rFonts w:hint="eastAsia"/>
                <w:sz w:val="24"/>
                <w:szCs w:val="24"/>
                <w:lang w:val="en-US" w:eastAsia="zh-CN"/>
              </w:rPr>
              <w:t>2022.5.1.计划，</w:t>
            </w:r>
            <w:r>
              <w:rPr>
                <w:rFonts w:hint="default"/>
                <w:sz w:val="24"/>
                <w:szCs w:val="24"/>
                <w:lang w:val="en-US" w:eastAsia="zh-CN"/>
              </w:rPr>
              <w:t>202</w:t>
            </w:r>
            <w:r>
              <w:rPr>
                <w:rFonts w:hint="eastAsia"/>
                <w:sz w:val="24"/>
                <w:szCs w:val="24"/>
                <w:lang w:val="en-US" w:eastAsia="zh-CN"/>
              </w:rPr>
              <w:t>2.11.8.实施</w:t>
            </w:r>
            <w:r>
              <w:rPr>
                <w:rFonts w:hint="default"/>
                <w:sz w:val="24"/>
                <w:szCs w:val="24"/>
                <w:lang w:val="en-US" w:eastAsia="zh-CN"/>
              </w:rPr>
              <w:t>管理评审</w:t>
            </w:r>
            <w:r>
              <w:rPr>
                <w:rFonts w:hint="eastAsia"/>
                <w:sz w:val="24"/>
                <w:szCs w:val="24"/>
                <w:lang w:val="en-US" w:eastAsia="zh-CN"/>
              </w:rPr>
              <w:t>；实际管理评审</w:t>
            </w:r>
            <w:r>
              <w:rPr>
                <w:rFonts w:hint="default"/>
                <w:sz w:val="24"/>
                <w:szCs w:val="24"/>
                <w:lang w:val="en-US" w:eastAsia="zh-CN"/>
              </w:rPr>
              <w:t>活动</w:t>
            </w:r>
            <w:r>
              <w:rPr>
                <w:rFonts w:hint="eastAsia"/>
                <w:sz w:val="24"/>
                <w:szCs w:val="24"/>
                <w:lang w:val="en-US" w:eastAsia="zh-CN"/>
              </w:rPr>
              <w:t>开展时间2022.5.8.</w:t>
            </w:r>
            <w:r>
              <w:rPr>
                <w:rFonts w:hint="default"/>
                <w:sz w:val="24"/>
                <w:szCs w:val="24"/>
                <w:lang w:val="en-US" w:eastAsia="zh-CN"/>
              </w:rPr>
              <w:t>，所有职能部门参与，提供</w:t>
            </w:r>
            <w:r>
              <w:rPr>
                <w:rFonts w:hint="default"/>
                <w:sz w:val="24"/>
                <w:szCs w:val="24"/>
                <w:highlight w:val="none"/>
                <w:lang w:val="en-US" w:eastAsia="zh-CN"/>
              </w:rPr>
              <w:t>了手写的签到表；</w:t>
            </w:r>
            <w:r>
              <w:rPr>
                <w:rFonts w:hint="default"/>
                <w:sz w:val="24"/>
                <w:szCs w:val="24"/>
                <w:lang w:val="en-US" w:eastAsia="zh-CN"/>
              </w:rPr>
              <w:t>主要的输</w:t>
            </w:r>
            <w:r>
              <w:rPr>
                <w:rFonts w:hint="default" w:ascii="Times New Roman" w:hAnsi="Times New Roman" w:eastAsia="宋体" w:cs="Times New Roman"/>
                <w:sz w:val="24"/>
                <w:szCs w:val="24"/>
                <w:lang w:val="en-US" w:eastAsia="zh-CN"/>
              </w:rPr>
              <w:t>入：</w:t>
            </w:r>
          </w:p>
          <w:p>
            <w:pPr>
              <w:pStyle w:val="2"/>
              <w:numPr>
                <w:ilvl w:val="0"/>
                <w:numId w:val="0"/>
              </w:numPr>
              <w:spacing w:line="240" w:lineRule="auto"/>
              <w:rPr>
                <w:rFonts w:hint="eastAsia" w:ascii="宋体" w:hAnsi="宋体"/>
                <w:bCs/>
                <w:szCs w:val="21"/>
              </w:rPr>
            </w:pPr>
            <w:bookmarkStart w:id="6" w:name="OLE_LINK2"/>
            <w:r>
              <w:rPr>
                <w:rFonts w:hint="eastAsia" w:ascii="宋体" w:hAnsi="宋体"/>
                <w:bCs/>
                <w:szCs w:val="21"/>
              </w:rPr>
              <w:t>1、与QES体系有关的内、外部问题；</w:t>
            </w:r>
          </w:p>
          <w:p>
            <w:pPr>
              <w:pStyle w:val="2"/>
              <w:numPr>
                <w:ilvl w:val="0"/>
                <w:numId w:val="0"/>
              </w:numPr>
              <w:spacing w:line="240" w:lineRule="auto"/>
              <w:rPr>
                <w:rFonts w:hint="eastAsia" w:ascii="宋体" w:hAnsi="宋体"/>
                <w:bCs/>
                <w:szCs w:val="21"/>
              </w:rPr>
            </w:pPr>
            <w:r>
              <w:rPr>
                <w:rFonts w:hint="eastAsia" w:ascii="宋体" w:hAnsi="宋体"/>
                <w:bCs/>
                <w:szCs w:val="21"/>
              </w:rPr>
              <w:t>2、有关QES体系绩效和有效性的信息，包括下列趋势性信息：</w:t>
            </w:r>
          </w:p>
          <w:p>
            <w:pPr>
              <w:pStyle w:val="2"/>
              <w:numPr>
                <w:ilvl w:val="0"/>
                <w:numId w:val="0"/>
              </w:numPr>
              <w:spacing w:line="240" w:lineRule="auto"/>
              <w:rPr>
                <w:rFonts w:hint="eastAsia" w:ascii="宋体" w:hAnsi="宋体"/>
                <w:bCs/>
                <w:szCs w:val="21"/>
              </w:rPr>
            </w:pPr>
            <w:r>
              <w:rPr>
                <w:rFonts w:hint="eastAsia" w:ascii="宋体" w:hAnsi="宋体"/>
                <w:bCs/>
                <w:szCs w:val="21"/>
              </w:rPr>
              <w:t xml:space="preserve"> 1）顾客满意和相关方有关信息交流反馈等；</w:t>
            </w:r>
          </w:p>
          <w:p>
            <w:pPr>
              <w:pStyle w:val="2"/>
              <w:numPr>
                <w:ilvl w:val="0"/>
                <w:numId w:val="0"/>
              </w:numPr>
              <w:spacing w:line="240" w:lineRule="auto"/>
              <w:rPr>
                <w:rFonts w:hint="eastAsia" w:ascii="宋体" w:hAnsi="宋体"/>
                <w:bCs/>
                <w:szCs w:val="21"/>
              </w:rPr>
            </w:pPr>
            <w:r>
              <w:rPr>
                <w:rFonts w:hint="eastAsia" w:ascii="宋体" w:hAnsi="宋体"/>
                <w:bCs/>
                <w:szCs w:val="21"/>
              </w:rPr>
              <w:t xml:space="preserve"> 2）QES目标的实现程度；</w:t>
            </w:r>
          </w:p>
          <w:p>
            <w:pPr>
              <w:pStyle w:val="2"/>
              <w:numPr>
                <w:ilvl w:val="0"/>
                <w:numId w:val="0"/>
              </w:numPr>
              <w:spacing w:line="240" w:lineRule="auto"/>
              <w:rPr>
                <w:rFonts w:hint="eastAsia" w:ascii="宋体" w:hAnsi="宋体"/>
                <w:bCs/>
                <w:szCs w:val="21"/>
              </w:rPr>
            </w:pPr>
            <w:r>
              <w:rPr>
                <w:rFonts w:hint="eastAsia" w:ascii="宋体" w:hAnsi="宋体"/>
                <w:bCs/>
                <w:szCs w:val="21"/>
              </w:rPr>
              <w:t xml:space="preserve"> 3）过程绩效以及服务的符合性；</w:t>
            </w:r>
          </w:p>
          <w:p>
            <w:pPr>
              <w:pStyle w:val="2"/>
              <w:numPr>
                <w:ilvl w:val="0"/>
                <w:numId w:val="0"/>
              </w:numPr>
              <w:spacing w:line="240" w:lineRule="auto"/>
              <w:rPr>
                <w:rFonts w:hint="eastAsia" w:ascii="宋体" w:hAnsi="宋体"/>
                <w:bCs/>
                <w:szCs w:val="21"/>
              </w:rPr>
            </w:pPr>
            <w:r>
              <w:rPr>
                <w:rFonts w:hint="eastAsia" w:ascii="宋体" w:hAnsi="宋体"/>
                <w:bCs/>
                <w:szCs w:val="21"/>
              </w:rPr>
              <w:t xml:space="preserve"> 4）不合格以及事件调查、纠正和预防措施的状况；</w:t>
            </w:r>
          </w:p>
          <w:p>
            <w:pPr>
              <w:pStyle w:val="2"/>
              <w:numPr>
                <w:ilvl w:val="0"/>
                <w:numId w:val="0"/>
              </w:numPr>
              <w:spacing w:line="240" w:lineRule="auto"/>
              <w:rPr>
                <w:rFonts w:hint="eastAsia" w:ascii="宋体" w:hAnsi="宋体"/>
                <w:bCs/>
                <w:szCs w:val="21"/>
              </w:rPr>
            </w:pPr>
            <w:r>
              <w:rPr>
                <w:rFonts w:hint="eastAsia" w:ascii="宋体" w:hAnsi="宋体"/>
                <w:bCs/>
                <w:szCs w:val="21"/>
              </w:rPr>
              <w:t xml:space="preserve"> 5）监视和测量结果；</w:t>
            </w:r>
          </w:p>
          <w:p>
            <w:pPr>
              <w:pStyle w:val="2"/>
              <w:numPr>
                <w:ilvl w:val="0"/>
                <w:numId w:val="0"/>
              </w:numPr>
              <w:spacing w:line="240" w:lineRule="auto"/>
              <w:rPr>
                <w:rFonts w:hint="eastAsia" w:ascii="宋体" w:hAnsi="宋体"/>
                <w:bCs/>
                <w:szCs w:val="21"/>
              </w:rPr>
            </w:pPr>
            <w:r>
              <w:rPr>
                <w:rFonts w:hint="eastAsia" w:ascii="宋体" w:hAnsi="宋体"/>
                <w:bCs/>
                <w:szCs w:val="21"/>
              </w:rPr>
              <w:t xml:space="preserve"> 6）内部审核的结果；</w:t>
            </w:r>
          </w:p>
          <w:p>
            <w:pPr>
              <w:pStyle w:val="2"/>
              <w:numPr>
                <w:ilvl w:val="0"/>
                <w:numId w:val="0"/>
              </w:numPr>
              <w:spacing w:line="240" w:lineRule="auto"/>
              <w:rPr>
                <w:rFonts w:hint="eastAsia" w:ascii="宋体" w:hAnsi="宋体"/>
                <w:bCs/>
                <w:szCs w:val="21"/>
              </w:rPr>
            </w:pPr>
            <w:r>
              <w:rPr>
                <w:rFonts w:hint="eastAsia" w:ascii="宋体" w:hAnsi="宋体"/>
                <w:bCs/>
                <w:szCs w:val="21"/>
              </w:rPr>
              <w:t xml:space="preserve"> 7）外部供方的绩效；</w:t>
            </w:r>
          </w:p>
          <w:p>
            <w:pPr>
              <w:pStyle w:val="2"/>
              <w:numPr>
                <w:ilvl w:val="0"/>
                <w:numId w:val="0"/>
              </w:numPr>
              <w:spacing w:line="240" w:lineRule="auto"/>
              <w:rPr>
                <w:rFonts w:hint="eastAsia" w:ascii="宋体" w:hAnsi="宋体"/>
                <w:bCs/>
                <w:szCs w:val="21"/>
              </w:rPr>
            </w:pPr>
            <w:r>
              <w:rPr>
                <w:rFonts w:hint="eastAsia" w:ascii="宋体" w:hAnsi="宋体"/>
                <w:bCs/>
                <w:szCs w:val="21"/>
              </w:rPr>
              <w:t>8) 工作人员的协商和参与。</w:t>
            </w:r>
          </w:p>
          <w:p>
            <w:pPr>
              <w:pStyle w:val="2"/>
              <w:numPr>
                <w:ilvl w:val="0"/>
                <w:numId w:val="0"/>
              </w:numPr>
              <w:spacing w:line="240" w:lineRule="auto"/>
              <w:rPr>
                <w:rFonts w:hint="eastAsia" w:ascii="宋体" w:hAnsi="宋体"/>
                <w:bCs/>
                <w:szCs w:val="21"/>
              </w:rPr>
            </w:pPr>
            <w:r>
              <w:rPr>
                <w:rFonts w:hint="eastAsia" w:ascii="宋体" w:hAnsi="宋体"/>
                <w:bCs/>
                <w:szCs w:val="21"/>
              </w:rPr>
              <w:t xml:space="preserve"> 3、资源的充分性；</w:t>
            </w:r>
          </w:p>
          <w:p>
            <w:pPr>
              <w:pStyle w:val="2"/>
              <w:numPr>
                <w:ilvl w:val="0"/>
                <w:numId w:val="0"/>
              </w:numPr>
              <w:spacing w:line="240" w:lineRule="auto"/>
              <w:rPr>
                <w:rFonts w:hint="eastAsia" w:ascii="宋体" w:hAnsi="宋体"/>
                <w:bCs/>
                <w:szCs w:val="21"/>
              </w:rPr>
            </w:pPr>
            <w:r>
              <w:rPr>
                <w:rFonts w:hint="eastAsia" w:ascii="宋体" w:hAnsi="宋体"/>
                <w:bCs/>
                <w:szCs w:val="21"/>
              </w:rPr>
              <w:t xml:space="preserve"> 4、应对风险和机遇所采取措施的有效性；</w:t>
            </w:r>
          </w:p>
          <w:p>
            <w:pPr>
              <w:pStyle w:val="2"/>
              <w:numPr>
                <w:ilvl w:val="0"/>
                <w:numId w:val="0"/>
              </w:numPr>
              <w:spacing w:line="240" w:lineRule="auto"/>
              <w:rPr>
                <w:rFonts w:hint="eastAsia" w:ascii="宋体" w:hAnsi="宋体"/>
                <w:bCs/>
                <w:szCs w:val="21"/>
              </w:rPr>
            </w:pPr>
            <w:r>
              <w:rPr>
                <w:rFonts w:hint="eastAsia" w:ascii="宋体" w:hAnsi="宋体"/>
                <w:bCs/>
                <w:szCs w:val="21"/>
              </w:rPr>
              <w:t>5、相关方的需求和期望及合规义务的履约情况；</w:t>
            </w:r>
          </w:p>
          <w:p>
            <w:pPr>
              <w:pStyle w:val="2"/>
              <w:numPr>
                <w:ilvl w:val="0"/>
                <w:numId w:val="0"/>
              </w:numPr>
              <w:spacing w:line="240" w:lineRule="auto"/>
              <w:rPr>
                <w:rFonts w:hint="eastAsia" w:ascii="宋体" w:hAnsi="宋体"/>
                <w:bCs/>
                <w:szCs w:val="21"/>
              </w:rPr>
            </w:pPr>
            <w:r>
              <w:rPr>
                <w:rFonts w:hint="eastAsia" w:ascii="宋体" w:hAnsi="宋体"/>
                <w:bCs/>
                <w:szCs w:val="21"/>
              </w:rPr>
              <w:t>6、QES持续改进的机会等。</w:t>
            </w:r>
            <w:bookmarkEnd w:id="6"/>
          </w:p>
          <w:p>
            <w:pPr>
              <w:pStyle w:val="2"/>
              <w:numPr>
                <w:ilvl w:val="0"/>
                <w:numId w:val="0"/>
              </w:numPr>
              <w:spacing w:line="240" w:lineRule="auto"/>
              <w:rPr>
                <w:rFonts w:hint="default"/>
                <w:sz w:val="24"/>
                <w:szCs w:val="24"/>
                <w:lang w:val="en-US" w:eastAsia="zh-CN"/>
              </w:rPr>
            </w:pPr>
            <w:r>
              <w:rPr>
                <w:rFonts w:hint="default"/>
                <w:sz w:val="24"/>
                <w:szCs w:val="24"/>
                <w:lang w:val="en-US" w:eastAsia="zh-CN"/>
              </w:rPr>
              <w:t>评审结论：</w:t>
            </w:r>
          </w:p>
          <w:p>
            <w:pPr>
              <w:pStyle w:val="2"/>
              <w:spacing w:line="240" w:lineRule="auto"/>
              <w:rPr>
                <w:rFonts w:hint="eastAsia" w:ascii="宋体" w:hAnsi="宋体"/>
                <w:sz w:val="24"/>
                <w:szCs w:val="24"/>
              </w:rPr>
            </w:pPr>
            <w:r>
              <w:rPr>
                <w:rFonts w:hint="eastAsia" w:ascii="宋体" w:hAnsi="宋体"/>
                <w:sz w:val="24"/>
                <w:szCs w:val="24"/>
              </w:rPr>
              <w:t xml:space="preserve">  QES基本有效、充分和适宜。执行以上改进建议,加大QES改进力度，以确保QES整体绩效的提高。</w:t>
            </w:r>
          </w:p>
          <w:p>
            <w:pPr>
              <w:pStyle w:val="2"/>
              <w:spacing w:line="240" w:lineRule="auto"/>
              <w:rPr>
                <w:rFonts w:hint="default"/>
                <w:sz w:val="24"/>
                <w:szCs w:val="24"/>
                <w:lang w:val="en-US" w:eastAsia="zh-CN"/>
              </w:rPr>
            </w:pPr>
            <w:r>
              <w:rPr>
                <w:rFonts w:hint="default"/>
                <w:sz w:val="24"/>
                <w:szCs w:val="24"/>
                <w:lang w:val="en-US" w:eastAsia="zh-CN"/>
              </w:rPr>
              <w:t>2022-11-8管理评审改进建议：</w:t>
            </w:r>
          </w:p>
          <w:p>
            <w:pPr>
              <w:pStyle w:val="2"/>
              <w:numPr>
                <w:ilvl w:val="0"/>
                <w:numId w:val="0"/>
              </w:numPr>
              <w:spacing w:line="240" w:lineRule="auto"/>
              <w:rPr>
                <w:rFonts w:hint="default" w:ascii="宋体" w:hAnsi="宋体" w:eastAsia="宋体" w:cs="Times New Roman"/>
                <w:bCs/>
                <w:szCs w:val="21"/>
                <w:lang w:val="en-US" w:eastAsia="zh-CN"/>
              </w:rPr>
            </w:pPr>
            <w:bookmarkStart w:id="7" w:name="OLE_LINK1"/>
            <w:r>
              <w:rPr>
                <w:rFonts w:hint="default" w:ascii="宋体" w:hAnsi="宋体" w:eastAsia="宋体" w:cs="Times New Roman"/>
                <w:bCs/>
                <w:szCs w:val="21"/>
                <w:lang w:val="en-US" w:eastAsia="zh-CN"/>
              </w:rPr>
              <w:t>①对厂内消防安全的配套设施配置要提高，提升消防演习的质量</w:t>
            </w:r>
          </w:p>
          <w:p>
            <w:pPr>
              <w:pStyle w:val="2"/>
              <w:numPr>
                <w:ilvl w:val="0"/>
                <w:numId w:val="0"/>
              </w:numPr>
              <w:spacing w:line="240" w:lineRule="auto"/>
              <w:rPr>
                <w:rFonts w:hint="default" w:ascii="宋体" w:hAnsi="宋体" w:eastAsia="宋体" w:cs="Times New Roman"/>
                <w:bCs/>
                <w:szCs w:val="21"/>
                <w:lang w:val="en-US" w:eastAsia="zh-CN"/>
              </w:rPr>
            </w:pPr>
            <w:r>
              <w:rPr>
                <w:rFonts w:hint="default" w:ascii="宋体" w:hAnsi="宋体" w:eastAsia="宋体" w:cs="Times New Roman"/>
                <w:bCs/>
                <w:szCs w:val="21"/>
                <w:lang w:val="en-US" w:eastAsia="zh-CN"/>
              </w:rPr>
              <w:fldChar w:fldCharType="begin"/>
            </w:r>
            <w:r>
              <w:rPr>
                <w:rFonts w:hint="default" w:ascii="宋体" w:hAnsi="宋体" w:eastAsia="宋体" w:cs="Times New Roman"/>
                <w:bCs/>
                <w:szCs w:val="21"/>
                <w:lang w:val="en-US" w:eastAsia="zh-CN"/>
              </w:rPr>
              <w:instrText xml:space="preserve"> = 2 \* GB3 \* MERGEFORMAT </w:instrText>
            </w:r>
            <w:r>
              <w:rPr>
                <w:rFonts w:hint="default" w:ascii="宋体" w:hAnsi="宋体" w:eastAsia="宋体" w:cs="Times New Roman"/>
                <w:bCs/>
                <w:szCs w:val="21"/>
                <w:lang w:val="en-US" w:eastAsia="zh-CN"/>
              </w:rPr>
              <w:fldChar w:fldCharType="separate"/>
            </w:r>
            <w:r>
              <w:rPr>
                <w:rFonts w:hint="default" w:ascii="宋体" w:hAnsi="宋体" w:eastAsia="宋体" w:cs="Times New Roman"/>
                <w:bCs/>
                <w:szCs w:val="21"/>
                <w:lang w:val="en-US" w:eastAsia="zh-CN"/>
              </w:rPr>
              <w:t>②</w:t>
            </w:r>
            <w:r>
              <w:rPr>
                <w:rFonts w:hint="default" w:ascii="宋体" w:hAnsi="宋体" w:eastAsia="宋体" w:cs="Times New Roman"/>
                <w:bCs/>
                <w:szCs w:val="21"/>
                <w:lang w:val="en-US" w:eastAsia="zh-CN"/>
              </w:rPr>
              <w:fldChar w:fldCharType="end"/>
            </w:r>
            <w:r>
              <w:rPr>
                <w:rFonts w:hint="default" w:ascii="宋体" w:hAnsi="宋体" w:eastAsia="宋体" w:cs="Times New Roman"/>
                <w:bCs/>
                <w:szCs w:val="21"/>
                <w:lang w:val="en-US" w:eastAsia="zh-CN"/>
              </w:rPr>
              <w:t xml:space="preserve"> 加大市场开拓力度，保障平台交易规模达标。</w:t>
            </w:r>
          </w:p>
          <w:p>
            <w:pPr>
              <w:pStyle w:val="2"/>
              <w:numPr>
                <w:ilvl w:val="0"/>
                <w:numId w:val="0"/>
              </w:numPr>
              <w:spacing w:line="240" w:lineRule="auto"/>
              <w:rPr>
                <w:rFonts w:hint="eastAsia" w:ascii="宋体" w:hAnsi="宋体" w:eastAsia="宋体" w:cs="Times New Roman"/>
                <w:bCs/>
                <w:szCs w:val="21"/>
                <w:lang w:eastAsia="zh-CN"/>
              </w:rPr>
            </w:pPr>
            <w:r>
              <w:rPr>
                <w:rFonts w:hint="eastAsia" w:ascii="宋体" w:hAnsi="宋体" w:eastAsia="宋体" w:cs="Times New Roman"/>
                <w:bCs/>
                <w:szCs w:val="21"/>
                <w:lang w:val="en-US" w:eastAsia="zh-CN"/>
              </w:rPr>
              <w:t>查：“</w:t>
            </w:r>
            <w:r>
              <w:rPr>
                <w:rFonts w:hint="eastAsia" w:ascii="宋体" w:hAnsi="宋体" w:eastAsia="宋体" w:cs="Times New Roman"/>
                <w:bCs/>
                <w:szCs w:val="21"/>
              </w:rPr>
              <w:t>QES体系体系改进计划</w:t>
            </w:r>
            <w:r>
              <w:rPr>
                <w:rFonts w:hint="eastAsia" w:ascii="宋体" w:hAnsi="宋体" w:eastAsia="宋体" w:cs="Times New Roman"/>
                <w:bCs/>
                <w:szCs w:val="21"/>
                <w:lang w:eastAsia="zh-CN"/>
              </w:rPr>
              <w:t>”</w:t>
            </w:r>
          </w:p>
          <w:p>
            <w:pPr>
              <w:pStyle w:val="2"/>
              <w:numPr>
                <w:ilvl w:val="0"/>
                <w:numId w:val="0"/>
              </w:numPr>
              <w:spacing w:line="240" w:lineRule="auto"/>
              <w:rPr>
                <w:rFonts w:hint="eastAsia" w:ascii="宋体" w:hAnsi="宋体" w:eastAsia="宋体" w:cs="Times New Roman"/>
                <w:bCs/>
                <w:szCs w:val="21"/>
              </w:rPr>
            </w:pPr>
            <w:r>
              <w:rPr>
                <w:rFonts w:hint="eastAsia" w:ascii="宋体" w:hAnsi="宋体" w:eastAsia="宋体" w:cs="Times New Roman"/>
                <w:bCs/>
                <w:szCs w:val="21"/>
              </w:rPr>
              <w:t>改进内容：</w:t>
            </w:r>
          </w:p>
          <w:p>
            <w:pPr>
              <w:pStyle w:val="2"/>
              <w:numPr>
                <w:ilvl w:val="0"/>
                <w:numId w:val="0"/>
              </w:numPr>
              <w:spacing w:line="240" w:lineRule="auto"/>
              <w:rPr>
                <w:rFonts w:hint="eastAsia" w:ascii="宋体" w:hAnsi="宋体" w:eastAsia="宋体" w:cs="Times New Roman"/>
                <w:bCs/>
                <w:szCs w:val="21"/>
              </w:rPr>
            </w:pPr>
            <w:r>
              <w:rPr>
                <w:rFonts w:hint="eastAsia" w:ascii="宋体" w:hAnsi="宋体" w:eastAsia="宋体" w:cs="Times New Roman"/>
                <w:bCs/>
                <w:szCs w:val="21"/>
              </w:rPr>
              <w:t>根据本次QES的评审结果对QES作如下改进：</w:t>
            </w:r>
          </w:p>
          <w:p>
            <w:pPr>
              <w:pStyle w:val="2"/>
              <w:numPr>
                <w:ilvl w:val="0"/>
                <w:numId w:val="0"/>
              </w:numPr>
              <w:spacing w:line="240" w:lineRule="auto"/>
              <w:rPr>
                <w:rFonts w:hint="eastAsia" w:ascii="宋体" w:hAnsi="宋体" w:eastAsia="宋体" w:cs="Times New Roman"/>
                <w:bCs/>
                <w:szCs w:val="21"/>
              </w:rPr>
            </w:pPr>
            <w:r>
              <w:rPr>
                <w:rFonts w:hint="eastAsia" w:ascii="宋体" w:hAnsi="宋体" w:eastAsia="宋体" w:cs="Times New Roman"/>
                <w:bCs/>
                <w:szCs w:val="21"/>
              </w:rPr>
              <w:t>厂内消防安全的配套设施配置提高，提升消防演习的质量</w:t>
            </w:r>
          </w:p>
          <w:p>
            <w:pPr>
              <w:pStyle w:val="2"/>
              <w:numPr>
                <w:ilvl w:val="0"/>
                <w:numId w:val="0"/>
              </w:numPr>
              <w:spacing w:line="240" w:lineRule="auto"/>
              <w:rPr>
                <w:rFonts w:hint="eastAsia" w:ascii="宋体" w:hAnsi="宋体" w:eastAsia="宋体" w:cs="Times New Roman"/>
                <w:bCs/>
                <w:szCs w:val="21"/>
              </w:rPr>
            </w:pPr>
            <w:r>
              <w:rPr>
                <w:rFonts w:hint="eastAsia" w:ascii="宋体" w:hAnsi="宋体" w:eastAsia="宋体" w:cs="Times New Roman"/>
                <w:bCs/>
                <w:szCs w:val="21"/>
              </w:rPr>
              <w:t>主要执行部门：</w:t>
            </w:r>
            <w:r>
              <w:rPr>
                <w:rFonts w:hint="eastAsia" w:ascii="宋体" w:hAnsi="宋体" w:eastAsia="宋体" w:cs="Times New Roman"/>
                <w:bCs/>
                <w:szCs w:val="21"/>
                <w:lang w:eastAsia="zh-CN"/>
              </w:rPr>
              <w:t>综合办公室</w:t>
            </w:r>
            <w:r>
              <w:rPr>
                <w:rFonts w:hint="eastAsia" w:ascii="宋体" w:hAnsi="宋体" w:eastAsia="宋体" w:cs="Times New Roman"/>
                <w:bCs/>
                <w:szCs w:val="21"/>
              </w:rPr>
              <w:t xml:space="preserve">  完成期限：</w:t>
            </w:r>
            <w:r>
              <w:rPr>
                <w:rFonts w:hint="eastAsia" w:ascii="宋体" w:hAnsi="宋体" w:eastAsia="宋体" w:cs="Times New Roman"/>
                <w:bCs/>
                <w:szCs w:val="21"/>
                <w:lang w:eastAsia="zh-CN"/>
              </w:rPr>
              <w:t>2022</w:t>
            </w:r>
            <w:r>
              <w:rPr>
                <w:rFonts w:hint="eastAsia" w:ascii="宋体" w:hAnsi="宋体" w:eastAsia="宋体" w:cs="Times New Roman"/>
                <w:bCs/>
                <w:szCs w:val="21"/>
              </w:rPr>
              <w:t>年12月</w:t>
            </w:r>
          </w:p>
          <w:p>
            <w:pPr>
              <w:pStyle w:val="2"/>
              <w:numPr>
                <w:ilvl w:val="0"/>
                <w:numId w:val="0"/>
              </w:numPr>
              <w:spacing w:line="240" w:lineRule="auto"/>
              <w:rPr>
                <w:rFonts w:hint="eastAsia" w:ascii="宋体" w:hAnsi="宋体" w:eastAsia="宋体" w:cs="Times New Roman"/>
                <w:bCs/>
                <w:szCs w:val="21"/>
              </w:rPr>
            </w:pPr>
            <w:r>
              <w:rPr>
                <w:rFonts w:hint="eastAsia" w:ascii="宋体" w:hAnsi="宋体" w:eastAsia="宋体" w:cs="Times New Roman"/>
                <w:bCs/>
                <w:szCs w:val="21"/>
              </w:rPr>
              <w:fldChar w:fldCharType="begin"/>
            </w:r>
            <w:r>
              <w:rPr>
                <w:rFonts w:hint="eastAsia" w:ascii="宋体" w:hAnsi="宋体" w:eastAsia="宋体" w:cs="Times New Roman"/>
                <w:bCs/>
                <w:szCs w:val="21"/>
              </w:rPr>
              <w:instrText xml:space="preserve"> = 2 \* GB3 \* MERGEFORMAT </w:instrText>
            </w:r>
            <w:r>
              <w:rPr>
                <w:rFonts w:hint="eastAsia" w:ascii="宋体" w:hAnsi="宋体" w:eastAsia="宋体" w:cs="Times New Roman"/>
                <w:bCs/>
                <w:szCs w:val="21"/>
              </w:rPr>
              <w:fldChar w:fldCharType="separate"/>
            </w:r>
            <w:r>
              <w:rPr>
                <w:rFonts w:hint="eastAsia" w:ascii="宋体" w:hAnsi="宋体" w:eastAsia="宋体" w:cs="Times New Roman"/>
                <w:bCs/>
                <w:szCs w:val="21"/>
              </w:rPr>
              <w:t>②</w:t>
            </w:r>
            <w:r>
              <w:rPr>
                <w:rFonts w:hint="eastAsia" w:ascii="宋体" w:hAnsi="宋体" w:eastAsia="宋体" w:cs="Times New Roman"/>
                <w:bCs/>
                <w:szCs w:val="21"/>
              </w:rPr>
              <w:fldChar w:fldCharType="end"/>
            </w:r>
            <w:r>
              <w:rPr>
                <w:rFonts w:hint="eastAsia" w:ascii="宋体" w:hAnsi="宋体" w:eastAsia="宋体" w:cs="Times New Roman"/>
                <w:bCs/>
                <w:szCs w:val="21"/>
              </w:rPr>
              <w:t>加大市场开拓力度，保障平台交易规模达标。</w:t>
            </w:r>
          </w:p>
          <w:p>
            <w:pPr>
              <w:pStyle w:val="2"/>
              <w:numPr>
                <w:ilvl w:val="0"/>
                <w:numId w:val="0"/>
              </w:numPr>
              <w:spacing w:line="240" w:lineRule="auto"/>
              <w:rPr>
                <w:rFonts w:hint="eastAsia" w:ascii="宋体" w:hAnsi="宋体" w:eastAsia="宋体" w:cs="Times New Roman"/>
                <w:bCs/>
                <w:szCs w:val="21"/>
              </w:rPr>
            </w:pPr>
            <w:r>
              <w:rPr>
                <w:rFonts w:hint="eastAsia" w:ascii="宋体" w:hAnsi="宋体" w:eastAsia="宋体" w:cs="Times New Roman"/>
                <w:bCs/>
                <w:szCs w:val="21"/>
              </w:rPr>
              <w:t>主要执行部门：供销部 完成期限：</w:t>
            </w:r>
            <w:r>
              <w:rPr>
                <w:rFonts w:hint="eastAsia" w:ascii="宋体" w:hAnsi="宋体" w:eastAsia="宋体" w:cs="Times New Roman"/>
                <w:bCs/>
                <w:szCs w:val="21"/>
                <w:lang w:eastAsia="zh-CN"/>
              </w:rPr>
              <w:t>2022</w:t>
            </w:r>
            <w:r>
              <w:rPr>
                <w:rFonts w:hint="eastAsia" w:ascii="宋体" w:hAnsi="宋体" w:eastAsia="宋体" w:cs="Times New Roman"/>
                <w:bCs/>
                <w:szCs w:val="21"/>
              </w:rPr>
              <w:t>年12月</w:t>
            </w:r>
          </w:p>
          <w:p>
            <w:pPr>
              <w:pStyle w:val="2"/>
              <w:numPr>
                <w:ilvl w:val="0"/>
                <w:numId w:val="0"/>
              </w:numPr>
              <w:spacing w:line="240" w:lineRule="auto"/>
              <w:rPr>
                <w:rFonts w:hint="default"/>
                <w:sz w:val="24"/>
                <w:szCs w:val="24"/>
                <w:lang w:val="en-US" w:eastAsia="zh-CN"/>
              </w:rPr>
            </w:pPr>
            <w:r>
              <w:rPr>
                <w:rFonts w:hint="eastAsia" w:ascii="宋体" w:hAnsi="宋体" w:eastAsia="宋体" w:cs="Times New Roman"/>
                <w:bCs/>
                <w:szCs w:val="21"/>
              </w:rPr>
              <w:t xml:space="preserve">   以上改进计划由体系推行人负责监督实施,总经理负责批准并配置上述改进过程的资源。</w:t>
            </w:r>
          </w:p>
          <w:bookmarkEnd w:id="7"/>
          <w:p>
            <w:pPr>
              <w:pStyle w:val="2"/>
              <w:spacing w:line="240" w:lineRule="auto"/>
              <w:rPr>
                <w:rFonts w:hint="eastAsia"/>
                <w:sz w:val="24"/>
                <w:szCs w:val="24"/>
                <w:lang w:val="en-US" w:eastAsia="zh-CN"/>
              </w:rPr>
            </w:pPr>
            <w:r>
              <w:rPr>
                <w:rFonts w:hint="eastAsia"/>
                <w:sz w:val="24"/>
                <w:szCs w:val="24"/>
                <w:lang w:val="en-US" w:eastAsia="zh-CN"/>
              </w:rPr>
              <w:t>---管评已发放相关职能部门。</w:t>
            </w:r>
          </w:p>
          <w:p>
            <w:pPr>
              <w:pStyle w:val="2"/>
              <w:spacing w:line="240" w:lineRule="auto"/>
              <w:rPr>
                <w:rFonts w:hint="default"/>
                <w:sz w:val="24"/>
                <w:szCs w:val="24"/>
                <w:lang w:val="en-US" w:eastAsia="zh-CN"/>
              </w:rPr>
            </w:pPr>
            <w:r>
              <w:rPr>
                <w:rFonts w:hint="eastAsia"/>
                <w:sz w:val="24"/>
                <w:szCs w:val="24"/>
                <w:lang w:val="en-US" w:eastAsia="zh-CN"/>
              </w:rPr>
              <w:t>问题点：管理评审输入、输出的时间有点混乱。</w:t>
            </w:r>
          </w:p>
          <w:p>
            <w:pPr>
              <w:spacing w:line="240" w:lineRule="auto"/>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符合。</w:t>
            </w:r>
          </w:p>
        </w:tc>
        <w:tc>
          <w:tcPr>
            <w:tcW w:w="1585" w:type="dxa"/>
          </w:tcPr>
          <w:p>
            <w:pPr>
              <w:spacing w:line="240" w:lineRule="auto"/>
              <w:rPr>
                <w:rFonts w:hint="eastAsia" w:eastAsia="宋体"/>
                <w:sz w:val="24"/>
                <w:szCs w:val="24"/>
                <w:lang w:val="en-US" w:eastAsia="zh-CN"/>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40" w:lineRule="auto"/>
              <w:rPr>
                <w:rFonts w:hint="default" w:ascii="宋体" w:hAnsi="宋体" w:eastAsia="宋体"/>
                <w:sz w:val="24"/>
                <w:szCs w:val="24"/>
                <w:lang w:val="en-US" w:eastAsia="zh-CN"/>
              </w:rPr>
            </w:pPr>
            <w:r>
              <w:rPr>
                <w:rFonts w:hint="eastAsia"/>
                <w:sz w:val="24"/>
                <w:szCs w:val="24"/>
              </w:rPr>
              <w:t>改进机制的建立</w:t>
            </w:r>
            <w:r>
              <w:rPr>
                <w:rFonts w:hint="eastAsia"/>
                <w:sz w:val="24"/>
                <w:szCs w:val="24"/>
                <w:lang w:val="en-US" w:eastAsia="zh-CN"/>
              </w:rPr>
              <w:t>/出身不符合验证</w:t>
            </w:r>
          </w:p>
        </w:tc>
        <w:tc>
          <w:tcPr>
            <w:tcW w:w="960" w:type="dxa"/>
          </w:tcPr>
          <w:p>
            <w:pPr>
              <w:spacing w:line="240" w:lineRule="auto"/>
              <w:rPr>
                <w:rFonts w:hint="eastAsia"/>
                <w:sz w:val="24"/>
                <w:szCs w:val="24"/>
                <w:lang w:val="en-US" w:eastAsia="zh-CN"/>
              </w:rPr>
            </w:pPr>
            <w:r>
              <w:rPr>
                <w:rFonts w:hint="eastAsia"/>
                <w:sz w:val="24"/>
                <w:szCs w:val="24"/>
                <w:lang w:val="en-US" w:eastAsia="zh-CN"/>
              </w:rPr>
              <w:t>QES10.1/10.3</w:t>
            </w:r>
          </w:p>
        </w:tc>
        <w:tc>
          <w:tcPr>
            <w:tcW w:w="10004" w:type="dxa"/>
          </w:tcPr>
          <w:p>
            <w:pPr>
              <w:spacing w:line="240" w:lineRule="auto"/>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---策划了下列成文信息：</w:t>
            </w:r>
          </w:p>
          <w:p>
            <w:pPr>
              <w:spacing w:line="240" w:lineRule="auto"/>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HBDH-P-15-2022</w:t>
            </w:r>
            <w:r>
              <w:rPr>
                <w:rFonts w:hint="eastAsia" w:ascii="Times New Roman" w:hAnsi="Times New Roman" w:eastAsia="宋体" w:cs="Times New Roman"/>
                <w:sz w:val="24"/>
                <w:szCs w:val="24"/>
              </w:rPr>
              <w:tab/>
            </w:r>
            <w:r>
              <w:rPr>
                <w:rFonts w:hint="eastAsia" w:ascii="Times New Roman" w:hAnsi="Times New Roman" w:eastAsia="宋体" w:cs="Times New Roman"/>
                <w:sz w:val="24"/>
                <w:szCs w:val="24"/>
              </w:rPr>
              <w:t>《内部审核程序》</w:t>
            </w:r>
          </w:p>
          <w:p>
            <w:pPr>
              <w:spacing w:line="240" w:lineRule="auto"/>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HBDH-P-07-2022</w:t>
            </w:r>
            <w:r>
              <w:rPr>
                <w:rFonts w:hint="eastAsia" w:ascii="Times New Roman" w:hAnsi="Times New Roman" w:eastAsia="宋体" w:cs="Times New Roman"/>
                <w:sz w:val="24"/>
                <w:szCs w:val="24"/>
              </w:rPr>
              <w:tab/>
            </w:r>
            <w:r>
              <w:rPr>
                <w:rFonts w:hint="eastAsia" w:ascii="Times New Roman" w:hAnsi="Times New Roman" w:eastAsia="宋体" w:cs="Times New Roman"/>
                <w:sz w:val="24"/>
                <w:szCs w:val="24"/>
              </w:rPr>
              <w:t>《管理评审管理程序》</w:t>
            </w:r>
          </w:p>
          <w:p>
            <w:pPr>
              <w:spacing w:line="240" w:lineRule="auto"/>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HBDH-P-16-2022</w:t>
            </w:r>
            <w:r>
              <w:rPr>
                <w:rFonts w:hint="eastAsia" w:ascii="Times New Roman" w:hAnsi="Times New Roman" w:eastAsia="宋体" w:cs="Times New Roman"/>
                <w:sz w:val="24"/>
                <w:szCs w:val="24"/>
              </w:rPr>
              <w:tab/>
            </w:r>
            <w:r>
              <w:rPr>
                <w:rFonts w:hint="eastAsia" w:ascii="Times New Roman" w:hAnsi="Times New Roman" w:eastAsia="宋体" w:cs="Times New Roman"/>
                <w:sz w:val="24"/>
                <w:szCs w:val="24"/>
              </w:rPr>
              <w:t>《合规性评价管理程序》</w:t>
            </w:r>
          </w:p>
          <w:p>
            <w:pPr>
              <w:spacing w:line="240" w:lineRule="auto"/>
              <w:jc w:val="left"/>
              <w:rPr>
                <w:rFonts w:hint="eastAsia"/>
                <w:sz w:val="24"/>
                <w:szCs w:val="24"/>
              </w:rPr>
            </w:pPr>
            <w:r>
              <w:rPr>
                <w:rFonts w:hint="eastAsia"/>
                <w:sz w:val="24"/>
                <w:szCs w:val="24"/>
              </w:rPr>
              <w:t>HBDH-P-18-2022</w:t>
            </w:r>
            <w:r>
              <w:rPr>
                <w:rFonts w:hint="eastAsia"/>
                <w:sz w:val="24"/>
                <w:szCs w:val="24"/>
              </w:rPr>
              <w:tab/>
            </w:r>
            <w:r>
              <w:rPr>
                <w:rFonts w:hint="eastAsia"/>
                <w:sz w:val="24"/>
                <w:szCs w:val="24"/>
              </w:rPr>
              <w:t>《不合格控制程序》</w:t>
            </w:r>
          </w:p>
          <w:p>
            <w:pPr>
              <w:spacing w:line="240" w:lineRule="auto"/>
              <w:jc w:val="left"/>
              <w:rPr>
                <w:rFonts w:hint="eastAsia"/>
                <w:sz w:val="24"/>
                <w:szCs w:val="24"/>
              </w:rPr>
            </w:pPr>
            <w:r>
              <w:rPr>
                <w:rFonts w:hint="eastAsia"/>
                <w:sz w:val="24"/>
                <w:szCs w:val="24"/>
              </w:rPr>
              <w:t>HBDH-P-21-2022</w:t>
            </w:r>
            <w:r>
              <w:rPr>
                <w:rFonts w:hint="eastAsia"/>
                <w:sz w:val="24"/>
                <w:szCs w:val="24"/>
              </w:rPr>
              <w:tab/>
            </w:r>
            <w:r>
              <w:rPr>
                <w:rFonts w:hint="eastAsia"/>
                <w:sz w:val="24"/>
                <w:szCs w:val="24"/>
              </w:rPr>
              <w:t>《改进管理程序》</w:t>
            </w:r>
          </w:p>
          <w:p>
            <w:pPr>
              <w:spacing w:line="240" w:lineRule="auto"/>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---实施：</w:t>
            </w:r>
          </w:p>
          <w:p>
            <w:pPr>
              <w:spacing w:line="240" w:lineRule="auto"/>
              <w:jc w:val="left"/>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1、在公司及部门层面全面实施目标考核机制，针对周期性目标考核结果进行改进实施。</w:t>
            </w:r>
          </w:p>
          <w:p>
            <w:pPr>
              <w:spacing w:line="240" w:lineRule="auto"/>
              <w:jc w:val="left"/>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2、针对潜在的紧急情况造成的环境和职业健康安全风险，组织制定了有效的应急预案，并适时安排演练验证，以确定其适宜性和有效性，提升全员应急反应能力。</w:t>
            </w:r>
          </w:p>
          <w:p>
            <w:pPr>
              <w:spacing w:line="240" w:lineRule="auto"/>
              <w:jc w:val="left"/>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3、针对年度内审发现的不符合项实施了原因分析制定纠正措施并跟踪整改验证；针对年度管理评审和公司重大会议等活动信息进行综合分析评价，形成必要的改进决策。</w:t>
            </w:r>
          </w:p>
          <w:p>
            <w:pPr>
              <w:spacing w:line="240" w:lineRule="auto"/>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4、在日常业务运行中，组织各部门收集、统计贯标记录及QMS/OHSMS相关记录信息，运用统计技术进行数据分析，寻找改进机会。</w:t>
            </w:r>
          </w:p>
          <w:p>
            <w:pPr>
              <w:spacing w:line="240" w:lineRule="auto"/>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5、初审不符合涉及综合办公室QES7.3条款；本次审核微信视频询问综合办公室李少飞其公司方针、目标、职责、自身工作对公司QES体系的贡献与影响等，其回答基本正确。</w:t>
            </w:r>
          </w:p>
          <w:p>
            <w:pPr>
              <w:spacing w:line="240" w:lineRule="auto"/>
              <w:jc w:val="left"/>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6、公司领导介绍，公司在年度顾客满意程度调查中，得分较高。同时，至今无重大投诉、媒体曝光、人员伤亡及重大事故（质量/职业健康安全）发生。</w:t>
            </w:r>
          </w:p>
          <w:p>
            <w:pPr>
              <w:spacing w:line="240" w:lineRule="auto"/>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val="en-US" w:eastAsia="zh-CN"/>
              </w:rPr>
              <w:t>——上述这些均在相应的过程审核中提供有实施证据，证实了该组织改进机制的建设基本有效。</w:t>
            </w:r>
          </w:p>
        </w:tc>
        <w:tc>
          <w:tcPr>
            <w:tcW w:w="1585" w:type="dxa"/>
          </w:tcPr>
          <w:p>
            <w:pPr>
              <w:spacing w:line="240" w:lineRule="auto"/>
              <w:rPr>
                <w:rFonts w:hint="eastAsia" w:eastAsia="宋体"/>
                <w:sz w:val="24"/>
                <w:szCs w:val="24"/>
                <w:lang w:val="en-US" w:eastAsia="zh-CN"/>
              </w:rPr>
            </w:pPr>
            <w:r>
              <w:rPr>
                <w:rFonts w:hint="eastAsia"/>
                <w:sz w:val="24"/>
                <w:szCs w:val="24"/>
                <w:lang w:val="en-US" w:eastAsia="zh-CN"/>
              </w:rPr>
              <w:t>Y</w:t>
            </w: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756" w:firstLineChars="400"/>
      <w:jc w:val="left"/>
    </w:pPr>
    <w:r>
      <w:rPr>
        <w:rStyle w:val="12"/>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426DA8"/>
    <w:multiLevelType w:val="singleLevel"/>
    <w:tmpl w:val="D9426DA8"/>
    <w:lvl w:ilvl="0" w:tentative="0">
      <w:start w:val="1"/>
      <w:numFmt w:val="decimal"/>
      <w:suff w:val="nothing"/>
      <w:lvlText w:val="%1、"/>
      <w:lvlJc w:val="left"/>
    </w:lvl>
  </w:abstractNum>
  <w:abstractNum w:abstractNumId="1">
    <w:nsid w:val="59F02D1B"/>
    <w:multiLevelType w:val="multilevel"/>
    <w:tmpl w:val="59F02D1B"/>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
    <w:nsid w:val="62B1FF4B"/>
    <w:multiLevelType w:val="singleLevel"/>
    <w:tmpl w:val="62B1FF4B"/>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c4ZWJiZGY2YjU2MmRhNjg4NDA1NWJhMzhhZTVmYzcifQ=="/>
  </w:docVars>
  <w:rsids>
    <w:rsidRoot w:val="00000000"/>
    <w:rsid w:val="00060C6A"/>
    <w:rsid w:val="00970EA1"/>
    <w:rsid w:val="02D637C1"/>
    <w:rsid w:val="02F3158C"/>
    <w:rsid w:val="03B96901"/>
    <w:rsid w:val="06C54723"/>
    <w:rsid w:val="07223C14"/>
    <w:rsid w:val="072740B0"/>
    <w:rsid w:val="07FA6A3E"/>
    <w:rsid w:val="080737D2"/>
    <w:rsid w:val="0975771B"/>
    <w:rsid w:val="0A79028B"/>
    <w:rsid w:val="0AD6133C"/>
    <w:rsid w:val="0AEC4F01"/>
    <w:rsid w:val="0B7078E0"/>
    <w:rsid w:val="0BE107DE"/>
    <w:rsid w:val="0C4853AF"/>
    <w:rsid w:val="0C8769F9"/>
    <w:rsid w:val="0D394FBD"/>
    <w:rsid w:val="0D4032E2"/>
    <w:rsid w:val="0ECA37AB"/>
    <w:rsid w:val="0F4862CF"/>
    <w:rsid w:val="0F8A0F79"/>
    <w:rsid w:val="0FD61CDB"/>
    <w:rsid w:val="0FFA00C0"/>
    <w:rsid w:val="107F4121"/>
    <w:rsid w:val="10B9162F"/>
    <w:rsid w:val="10F62635"/>
    <w:rsid w:val="12E35EDE"/>
    <w:rsid w:val="1516586C"/>
    <w:rsid w:val="15714980"/>
    <w:rsid w:val="179D7CAF"/>
    <w:rsid w:val="184B6451"/>
    <w:rsid w:val="18E27989"/>
    <w:rsid w:val="19577A25"/>
    <w:rsid w:val="1BAF6202"/>
    <w:rsid w:val="1BF27E9D"/>
    <w:rsid w:val="1C774373"/>
    <w:rsid w:val="1CD84B07"/>
    <w:rsid w:val="1DA82F09"/>
    <w:rsid w:val="1DFE32C5"/>
    <w:rsid w:val="1F21242B"/>
    <w:rsid w:val="1F90634B"/>
    <w:rsid w:val="22F52BE0"/>
    <w:rsid w:val="24625F84"/>
    <w:rsid w:val="24733F57"/>
    <w:rsid w:val="24F37160"/>
    <w:rsid w:val="257860A4"/>
    <w:rsid w:val="25DD3A01"/>
    <w:rsid w:val="25E34F76"/>
    <w:rsid w:val="29064F88"/>
    <w:rsid w:val="29086F52"/>
    <w:rsid w:val="29B524E6"/>
    <w:rsid w:val="2B1C518D"/>
    <w:rsid w:val="2B406DB4"/>
    <w:rsid w:val="2B773770"/>
    <w:rsid w:val="2C063C1D"/>
    <w:rsid w:val="2C467CD6"/>
    <w:rsid w:val="2C5E6E94"/>
    <w:rsid w:val="2DD14B05"/>
    <w:rsid w:val="2E053A60"/>
    <w:rsid w:val="2E4F02FD"/>
    <w:rsid w:val="2E600B33"/>
    <w:rsid w:val="2E8E2CC9"/>
    <w:rsid w:val="2EBB72EC"/>
    <w:rsid w:val="2F0D7E7A"/>
    <w:rsid w:val="2FC82F97"/>
    <w:rsid w:val="315A2315"/>
    <w:rsid w:val="321B7CF6"/>
    <w:rsid w:val="322748ED"/>
    <w:rsid w:val="327F1CE6"/>
    <w:rsid w:val="32AA7753"/>
    <w:rsid w:val="33373B93"/>
    <w:rsid w:val="345D45F6"/>
    <w:rsid w:val="34D348B8"/>
    <w:rsid w:val="34E97C37"/>
    <w:rsid w:val="35E87EEF"/>
    <w:rsid w:val="35FE0934"/>
    <w:rsid w:val="373E0A74"/>
    <w:rsid w:val="3794621B"/>
    <w:rsid w:val="38E47094"/>
    <w:rsid w:val="3A7F4423"/>
    <w:rsid w:val="3B583D69"/>
    <w:rsid w:val="3BA315DC"/>
    <w:rsid w:val="3BB54D17"/>
    <w:rsid w:val="3D0777F5"/>
    <w:rsid w:val="3DAB25A5"/>
    <w:rsid w:val="3E2919ED"/>
    <w:rsid w:val="3E787A11"/>
    <w:rsid w:val="3F9D1D4A"/>
    <w:rsid w:val="3FDD483D"/>
    <w:rsid w:val="40580367"/>
    <w:rsid w:val="41A25D3E"/>
    <w:rsid w:val="42497FA5"/>
    <w:rsid w:val="425E3CB1"/>
    <w:rsid w:val="436E6208"/>
    <w:rsid w:val="43AE365E"/>
    <w:rsid w:val="449874E4"/>
    <w:rsid w:val="4537616F"/>
    <w:rsid w:val="457B2660"/>
    <w:rsid w:val="45886F23"/>
    <w:rsid w:val="46D70238"/>
    <w:rsid w:val="472D2D1A"/>
    <w:rsid w:val="482F7BFF"/>
    <w:rsid w:val="488241D3"/>
    <w:rsid w:val="493E3092"/>
    <w:rsid w:val="4BCE3AD9"/>
    <w:rsid w:val="4EBB48DA"/>
    <w:rsid w:val="4F0516BA"/>
    <w:rsid w:val="51143AE0"/>
    <w:rsid w:val="54C37E34"/>
    <w:rsid w:val="567315FF"/>
    <w:rsid w:val="56947D7C"/>
    <w:rsid w:val="576910D5"/>
    <w:rsid w:val="58EB1921"/>
    <w:rsid w:val="59525F36"/>
    <w:rsid w:val="5AEE0F48"/>
    <w:rsid w:val="5BF6373C"/>
    <w:rsid w:val="5C2A3BCE"/>
    <w:rsid w:val="5C2F621B"/>
    <w:rsid w:val="5E487E58"/>
    <w:rsid w:val="5E992621"/>
    <w:rsid w:val="5ED864A3"/>
    <w:rsid w:val="5EF13A09"/>
    <w:rsid w:val="603B318E"/>
    <w:rsid w:val="608F5DD2"/>
    <w:rsid w:val="60917251"/>
    <w:rsid w:val="60BA574C"/>
    <w:rsid w:val="60F010E0"/>
    <w:rsid w:val="612D07D9"/>
    <w:rsid w:val="628031A1"/>
    <w:rsid w:val="62BE7CD3"/>
    <w:rsid w:val="63321841"/>
    <w:rsid w:val="63870498"/>
    <w:rsid w:val="66C87EA9"/>
    <w:rsid w:val="67242706"/>
    <w:rsid w:val="67417B74"/>
    <w:rsid w:val="6A022F6E"/>
    <w:rsid w:val="6BC31AE9"/>
    <w:rsid w:val="6BD768C9"/>
    <w:rsid w:val="6D77332B"/>
    <w:rsid w:val="6D8D2B4F"/>
    <w:rsid w:val="6DEE7A91"/>
    <w:rsid w:val="6FB31F7B"/>
    <w:rsid w:val="7004359C"/>
    <w:rsid w:val="7073427E"/>
    <w:rsid w:val="712826C2"/>
    <w:rsid w:val="71A52B5D"/>
    <w:rsid w:val="725C706F"/>
    <w:rsid w:val="72D56DFC"/>
    <w:rsid w:val="73417493"/>
    <w:rsid w:val="737077E9"/>
    <w:rsid w:val="747D2EA5"/>
    <w:rsid w:val="74DB1E69"/>
    <w:rsid w:val="74E726CC"/>
    <w:rsid w:val="755055AC"/>
    <w:rsid w:val="76AD7DBE"/>
    <w:rsid w:val="76CF73B4"/>
    <w:rsid w:val="76DB04A5"/>
    <w:rsid w:val="7760254B"/>
    <w:rsid w:val="79B2294C"/>
    <w:rsid w:val="79B55907"/>
    <w:rsid w:val="79FA7ECE"/>
    <w:rsid w:val="7A28432B"/>
    <w:rsid w:val="7A835A05"/>
    <w:rsid w:val="7AA62EBB"/>
    <w:rsid w:val="7AD460D5"/>
    <w:rsid w:val="7BFA6C52"/>
    <w:rsid w:val="7D3E79C1"/>
    <w:rsid w:val="7F8D08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paragraph" w:styleId="3">
    <w:name w:val="heading 2"/>
    <w:basedOn w:val="1"/>
    <w:next w:val="1"/>
    <w:qFormat/>
    <w:uiPriority w:val="0"/>
    <w:pPr>
      <w:keepNext/>
      <w:keepLines/>
      <w:numPr>
        <w:ilvl w:val="0"/>
        <w:numId w:val="1"/>
      </w:numPr>
      <w:adjustRightInd w:val="0"/>
      <w:snapToGrid w:val="0"/>
      <w:spacing w:before="50" w:beforeLines="50" w:after="50" w:afterLines="50" w:line="240" w:lineRule="auto"/>
      <w:ind w:left="0" w:firstLine="0"/>
      <w:jc w:val="left"/>
      <w:outlineLvl w:val="1"/>
    </w:pPr>
    <w:rPr>
      <w:rFonts w:ascii="宋体" w:hAnsi="宋体" w:eastAsia="宋体" w:cs="Times New Roman"/>
      <w:b/>
      <w:bCs/>
      <w:sz w:val="28"/>
      <w:szCs w:val="32"/>
      <w:lang w:val="zh-CN"/>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p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next w:val="2"/>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表格文字"/>
    <w:basedOn w:val="1"/>
    <w:qFormat/>
    <w:uiPriority w:val="0"/>
    <w:pPr>
      <w:spacing w:before="25" w:after="25"/>
    </w:pPr>
    <w:rPr>
      <w:bCs/>
      <w:spacing w:val="10"/>
    </w:rPr>
  </w:style>
  <w:style w:type="paragraph" w:styleId="14">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4608</Words>
  <Characters>5223</Characters>
  <Lines>1</Lines>
  <Paragraphs>1</Paragraphs>
  <TotalTime>0</TotalTime>
  <ScaleCrop>false</ScaleCrop>
  <LinksUpToDate>false</LinksUpToDate>
  <CharactersWithSpaces>5316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春华秋实</cp:lastModifiedBy>
  <dcterms:modified xsi:type="dcterms:W3CDTF">2022-06-27T03:54:59Z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7DFCEC2663F8433AAB0395BE4DD38EEB</vt:lpwstr>
  </property>
  <property fmtid="{D5CDD505-2E9C-101B-9397-08002B2CF9AE}" pid="3" name="KSOProductBuildVer">
    <vt:lpwstr>2052-11.1.0.11830</vt:lpwstr>
  </property>
</Properties>
</file>