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0629-2021-QEO-2022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河北欧恩通用设备有限公司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河北欧恩通用设备有限公司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河北省张家口市宣化区侯家庙东172号院</w:t>
            </w:r>
            <w:bookmarkEnd w:id="6"/>
          </w:p>
        </w:tc>
        <w:tc>
          <w:tcPr>
            <w:tcW w:w="1242" w:type="dxa"/>
            <w:vMerge w:val="restart"/>
            <w:vAlign w:val="center"/>
          </w:tcPr>
          <w:p>
            <w:r>
              <w:rPr>
                <w:rFonts w:hint="eastAsia"/>
              </w:rPr>
              <w:t>邮编</w:t>
            </w:r>
          </w:p>
        </w:tc>
        <w:tc>
          <w:tcPr>
            <w:tcW w:w="1771" w:type="dxa"/>
          </w:tcPr>
          <w:p>
            <w:bookmarkStart w:id="7" w:name="注册邮编"/>
            <w:r>
              <w:t>075199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河北省张家口市宣化区侯家庙东172号院</w:t>
            </w:r>
            <w:bookmarkEnd w:id="8"/>
          </w:p>
        </w:tc>
        <w:tc>
          <w:tcPr>
            <w:tcW w:w="1242" w:type="dxa"/>
            <w:vMerge w:val="continue"/>
            <w:vAlign w:val="center"/>
          </w:tcPr>
          <w:p/>
        </w:tc>
        <w:tc>
          <w:tcPr>
            <w:tcW w:w="1771" w:type="dxa"/>
          </w:tcPr>
          <w:p>
            <w:bookmarkStart w:id="9" w:name="办公邮编"/>
            <w:r>
              <w:t>075199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陈星全</w:t>
            </w:r>
            <w:bookmarkEnd w:id="10"/>
          </w:p>
        </w:tc>
        <w:tc>
          <w:tcPr>
            <w:tcW w:w="1313" w:type="dxa"/>
            <w:vAlign w:val="center"/>
          </w:tcPr>
          <w:p>
            <w:r>
              <w:rPr>
                <w:rFonts w:hint="eastAsia"/>
              </w:rPr>
              <w:t>电话.</w:t>
            </w:r>
          </w:p>
        </w:tc>
        <w:tc>
          <w:tcPr>
            <w:tcW w:w="2180" w:type="dxa"/>
            <w:vAlign w:val="center"/>
          </w:tcPr>
          <w:p>
            <w:bookmarkStart w:id="11" w:name="联系人电话"/>
            <w:r>
              <w:t>13903233747</w:t>
            </w:r>
            <w:bookmarkEnd w:id="11"/>
          </w:p>
        </w:tc>
        <w:tc>
          <w:tcPr>
            <w:tcW w:w="1242" w:type="dxa"/>
            <w:vAlign w:val="center"/>
          </w:tcPr>
          <w:p>
            <w:r>
              <w:rPr>
                <w:rFonts w:hint="eastAsia"/>
              </w:rPr>
              <w:t>传真</w:t>
            </w:r>
          </w:p>
        </w:tc>
        <w:tc>
          <w:tcPr>
            <w:tcW w:w="1771" w:type="dxa"/>
          </w:tcPr>
          <w:p>
            <w:bookmarkStart w:id="12" w:name="联系人传真"/>
            <w:r>
              <w:t>0313-5964068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陈星全</w:t>
            </w:r>
            <w:bookmarkEnd w:id="13"/>
          </w:p>
        </w:tc>
        <w:tc>
          <w:tcPr>
            <w:tcW w:w="1313" w:type="dxa"/>
            <w:vAlign w:val="center"/>
          </w:tcPr>
          <w:p>
            <w:r>
              <w:rPr>
                <w:rFonts w:hint="eastAsia"/>
              </w:rPr>
              <w:t>管理者代表</w:t>
            </w:r>
          </w:p>
        </w:tc>
        <w:tc>
          <w:tcPr>
            <w:tcW w:w="2180" w:type="dxa"/>
          </w:tcPr>
          <w:p>
            <w:bookmarkStart w:id="14" w:name="管理者代表"/>
            <w:r>
              <w:t>陈星全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ascii="Times New Roman" w:hAnsi="Times New Roman" w:eastAsia="宋体" w:cs="Times New Roman"/>
                <w:szCs w:val="21"/>
              </w:rPr>
            </w:pPr>
            <w:r>
              <w:rPr>
                <w:rFonts w:hint="default" w:ascii="Times New Roman" w:hAnsi="Times New Roman" w:eastAsia="宋体" w:cs="Times New Roman"/>
                <w:szCs w:val="21"/>
              </w:rPr>
              <w:t>标</w:t>
            </w:r>
            <w:r>
              <w:rPr>
                <w:rFonts w:hint="eastAsia" w:ascii="Times New Roman" w:hAnsi="Times New Roman" w:eastAsia="宋体" w:cs="Times New Roman"/>
                <w:szCs w:val="21"/>
                <w:lang w:eastAsia="zh-CN"/>
              </w:rPr>
              <w:t>识</w:t>
            </w:r>
            <w:r>
              <w:rPr>
                <w:rFonts w:hint="default" w:ascii="Times New Roman" w:hAnsi="Times New Roman" w:eastAsia="宋体" w:cs="Times New Roman"/>
                <w:szCs w:val="21"/>
              </w:rPr>
              <w:t>牌：采购→裁剪→覆膜→检验→包装</w:t>
            </w:r>
          </w:p>
          <w:p>
            <w:pPr>
              <w:rPr>
                <w:rFonts w:hint="default" w:ascii="Times New Roman" w:hAnsi="Times New Roman" w:eastAsia="宋体" w:cs="Times New Roman"/>
                <w:szCs w:val="21"/>
              </w:rPr>
            </w:pPr>
            <w:r>
              <w:rPr>
                <w:rFonts w:hint="default" w:ascii="Times New Roman" w:hAnsi="Times New Roman" w:eastAsia="宋体" w:cs="Times New Roman"/>
                <w:szCs w:val="21"/>
              </w:rPr>
              <w:t>防鸟设备： 标准件、u型底座-----组装----检验灵活性360°旋转（风力旋转）---铁件腐蚀---检验---入库</w:t>
            </w:r>
          </w:p>
          <w:p>
            <w:r>
              <w:rPr>
                <w:rFonts w:hint="default" w:ascii="Times New Roman" w:hAnsi="Times New Roman" w:eastAsia="宋体" w:cs="Times New Roman"/>
                <w:szCs w:val="21"/>
              </w:rPr>
              <w:t>围栏：绝缘管→铆钉→绝缘管打孔→组装→检验→包装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2022年06月20日 上午至2022年06月20日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2"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9"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河北省张家口市宣化区侯家庙东172号院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Q：标识牌、防鸟设备、围栏设施的加工及销售；无人驾驶航空器、安全工器具、仪器仪表、消防器材、五金材料的销售</w:t>
            </w:r>
          </w:p>
          <w:p>
            <w:r>
              <w:t>E：标识牌、防鸟设备、围栏设施的加工及销售；无人驾驶航空器、安全工器具、仪器仪表、消防器材、五金材料的销售所涉及场所的相关环境管理活动</w:t>
            </w:r>
          </w:p>
          <w:p>
            <w:r>
              <w:t>O：标识牌、防鸟设备、围栏设施的加工及销售；无人驾驶航空器、安全工器具、仪器仪表、消防器材、五金材料的销售所涉及场所的相关职业健康安全管理活动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Q：17.12.03;17.12.05;29.12.00</w:t>
            </w:r>
          </w:p>
          <w:p>
            <w:r>
              <w:t>E：17.12.03;17.12.05;29.12.00</w:t>
            </w:r>
          </w:p>
          <w:p>
            <w:r>
              <w:t>O：17.12.03;17.12.05;29.12.00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default" w:ascii="Times New Roman" w:hAnsi="Times New Roman" w:eastAsia="宋体" w:cs="Times New Roman"/>
                <w:sz w:val="21"/>
                <w:szCs w:val="21"/>
              </w:rPr>
              <w:t>2020年</w:t>
            </w:r>
            <w:r>
              <w:rPr>
                <w:rFonts w:hint="eastAsia"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17"/>
        <w:gridCol w:w="1327"/>
        <w:gridCol w:w="609"/>
        <w:gridCol w:w="2718"/>
        <w:gridCol w:w="18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117" w:type="dxa"/>
            <w:shd w:val="clear" w:color="auto" w:fill="F3F3F3"/>
            <w:tcMar>
              <w:left w:w="57" w:type="dxa"/>
              <w:right w:w="57" w:type="dxa"/>
            </w:tcMar>
          </w:tcPr>
          <w:p>
            <w:r>
              <w:rPr>
                <w:rFonts w:hint="eastAsia"/>
              </w:rPr>
              <w:t>组织名称及注册场所地址</w:t>
            </w:r>
          </w:p>
        </w:tc>
        <w:tc>
          <w:tcPr>
            <w:tcW w:w="1327" w:type="dxa"/>
            <w:shd w:val="clear" w:color="auto" w:fill="F3F3F3"/>
            <w:tcMar>
              <w:left w:w="57" w:type="dxa"/>
              <w:right w:w="57" w:type="dxa"/>
            </w:tcMar>
          </w:tcPr>
          <w:p>
            <w:r>
              <w:rPr>
                <w:rFonts w:hint="eastAsia"/>
              </w:rPr>
              <w:t>经营场所的地址</w:t>
            </w:r>
          </w:p>
        </w:tc>
        <w:tc>
          <w:tcPr>
            <w:tcW w:w="609" w:type="dxa"/>
            <w:shd w:val="clear" w:color="auto" w:fill="F3F3F3"/>
            <w:tcMar>
              <w:left w:w="57" w:type="dxa"/>
              <w:right w:w="57" w:type="dxa"/>
            </w:tcMar>
          </w:tcPr>
          <w:p>
            <w:r>
              <w:rPr>
                <w:rFonts w:hint="eastAsia"/>
              </w:rPr>
              <w:t>员工人数</w:t>
            </w:r>
          </w:p>
        </w:tc>
        <w:tc>
          <w:tcPr>
            <w:tcW w:w="2718" w:type="dxa"/>
            <w:shd w:val="clear" w:color="auto" w:fill="F3F3F3"/>
            <w:tcMar>
              <w:left w:w="57" w:type="dxa"/>
              <w:right w:w="57" w:type="dxa"/>
            </w:tcMar>
          </w:tcPr>
          <w:p>
            <w:r>
              <w:rPr>
                <w:rFonts w:hint="eastAsia"/>
              </w:rPr>
              <w:t>审核范围（产品和过程）</w:t>
            </w:r>
          </w:p>
          <w:p/>
        </w:tc>
        <w:tc>
          <w:tcPr>
            <w:tcW w:w="18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117" w:type="dxa"/>
          </w:tcPr>
          <w:p>
            <w:pPr>
              <w:rPr>
                <w:rFonts w:hint="eastAsia"/>
                <w:lang w:val="de-DE" w:eastAsia="ja-JP"/>
              </w:rPr>
            </w:pPr>
            <w:r>
              <w:rPr>
                <w:rFonts w:hint="eastAsia"/>
                <w:lang w:val="de-DE" w:eastAsia="ja-JP"/>
              </w:rPr>
              <w:t>河北欧恩通用设备有限公司</w:t>
            </w:r>
          </w:p>
          <w:p>
            <w:pPr>
              <w:rPr>
                <w:lang w:val="de-DE" w:eastAsia="ja-JP"/>
              </w:rPr>
            </w:pPr>
            <w:r>
              <w:rPr>
                <w:rFonts w:hint="eastAsia"/>
                <w:lang w:val="de-DE" w:eastAsia="ja-JP"/>
              </w:rPr>
              <w:t>河北省张家口市宣化区侯家庙东172号院</w:t>
            </w:r>
          </w:p>
        </w:tc>
        <w:tc>
          <w:tcPr>
            <w:tcW w:w="1327" w:type="dxa"/>
          </w:tcPr>
          <w:p>
            <w:pPr>
              <w:rPr>
                <w:lang w:val="de-DE" w:eastAsia="ja-JP"/>
              </w:rPr>
            </w:pPr>
            <w:r>
              <w:rPr>
                <w:rFonts w:hint="eastAsia"/>
                <w:lang w:val="de-DE" w:eastAsia="ja-JP"/>
              </w:rPr>
              <w:t>河北省张家口市宣化区侯家庙东172号院</w:t>
            </w:r>
          </w:p>
        </w:tc>
        <w:tc>
          <w:tcPr>
            <w:tcW w:w="609" w:type="dxa"/>
            <w:vAlign w:val="center"/>
          </w:tcPr>
          <w:p>
            <w:pPr>
              <w:rPr>
                <w:rFonts w:hint="default" w:eastAsia="宋体"/>
                <w:lang w:val="en-US" w:eastAsia="zh-CN"/>
              </w:rPr>
            </w:pPr>
            <w:r>
              <w:rPr>
                <w:rFonts w:hint="eastAsia"/>
                <w:lang w:val="en-US" w:eastAsia="zh-CN"/>
              </w:rPr>
              <w:t>15</w:t>
            </w:r>
          </w:p>
        </w:tc>
        <w:tc>
          <w:tcPr>
            <w:tcW w:w="2718" w:type="dxa"/>
            <w:vAlign w:val="center"/>
          </w:tcPr>
          <w:p>
            <w:pPr>
              <w:rPr>
                <w:lang w:eastAsia="ja-JP"/>
              </w:rPr>
            </w:pPr>
            <w:r>
              <w:t>标识牌、防鸟设备、围栏设施的加工及销售；无人驾驶航空器、安全工器具、仪器仪表、消防器材、五金材料的销售</w:t>
            </w:r>
          </w:p>
        </w:tc>
        <w:tc>
          <w:tcPr>
            <w:tcW w:w="1806" w:type="dxa"/>
            <w:vAlign w:val="center"/>
          </w:tcPr>
          <w:p>
            <w:pPr>
              <w:rPr>
                <w:rFonts w:hint="eastAsia"/>
              </w:rPr>
            </w:pPr>
            <w:r>
              <w:rPr>
                <w:rFonts w:hint="eastAsia"/>
                <w:lang w:val="de-DE"/>
              </w:rPr>
              <w:t>GB/T19001-2016GB/T24001-2016</w:t>
            </w:r>
          </w:p>
          <w:p>
            <w:pPr>
              <w:rPr>
                <w:lang w:val="de-DE"/>
              </w:rPr>
            </w:pPr>
            <w:r>
              <w:rPr>
                <w:rFonts w:hint="eastAsia"/>
              </w:rPr>
              <w:t>GB/T 45001-2020</w:t>
            </w:r>
          </w:p>
          <w:p>
            <w:pPr>
              <w:rPr>
                <w:lang w:eastAsia="ja-JP"/>
              </w:rPr>
            </w:pPr>
          </w:p>
        </w:tc>
        <w:tc>
          <w:tcPr>
            <w:tcW w:w="668" w:type="dxa"/>
            <w:shd w:val="clear" w:color="auto" w:fill="FFFFFF"/>
          </w:tcPr>
          <w:p>
            <w:r>
              <w:rPr>
                <w:rFonts w:hint="default" w:ascii="Arial" w:hAnsi="Arial" w:cs="Arial"/>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166"/>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166" w:type="dxa"/>
            <w:vAlign w:val="center"/>
          </w:tcPr>
          <w:p>
            <w:r>
              <w:rPr>
                <w:rFonts w:hint="eastAsia"/>
              </w:rPr>
              <w:t>审核员注册证书号</w:t>
            </w:r>
          </w:p>
        </w:tc>
        <w:tc>
          <w:tcPr>
            <w:tcW w:w="288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166" w:type="dxa"/>
            <w:vAlign w:val="center"/>
          </w:tcPr>
          <w:p>
            <w:r>
              <w:t>2019-N1QMS-3022240</w:t>
            </w:r>
          </w:p>
          <w:p>
            <w:r>
              <w:t>2020-N1EMS-3022240</w:t>
            </w:r>
          </w:p>
          <w:p>
            <w:r>
              <w:t>2020-N1OHSMS-3022240</w:t>
            </w:r>
          </w:p>
        </w:tc>
        <w:tc>
          <w:tcPr>
            <w:tcW w:w="2883" w:type="dxa"/>
            <w:vAlign w:val="center"/>
          </w:tcPr>
          <w:p>
            <w:r>
              <w:t>Q:17.12.03,17.12.05,29.12.00</w:t>
            </w:r>
          </w:p>
          <w:p>
            <w:r>
              <w:t>E:17.12.03,17.12.05,29.12.00</w:t>
            </w:r>
          </w:p>
          <w:p>
            <w:r>
              <w:t>O:17.12.03,17.12.05,29.12.00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166" w:type="dxa"/>
            <w:vAlign w:val="center"/>
          </w:tcPr>
          <w:p>
            <w:r>
              <w:t>2021-N1QMS-1215052</w:t>
            </w:r>
          </w:p>
          <w:p>
            <w:r>
              <w:t>2022-N1EMS-1215052</w:t>
            </w:r>
          </w:p>
          <w:p>
            <w:r>
              <w:t>2022-N1OHSMS-1215052</w:t>
            </w:r>
          </w:p>
        </w:tc>
        <w:tc>
          <w:tcPr>
            <w:tcW w:w="2883" w:type="dxa"/>
            <w:vAlign w:val="center"/>
          </w:tcPr>
          <w:p>
            <w:r>
              <w:t>Q:17.12.03,17.12.05,29.12.00</w:t>
            </w:r>
          </w:p>
          <w:p>
            <w:r>
              <w:t>E:17.12.03,17.12.05,29.12.00</w:t>
            </w:r>
          </w:p>
          <w:p>
            <w:r>
              <w:t>O:17.12.03,17.12.05,29.12.00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166" w:type="dxa"/>
            <w:vAlign w:val="center"/>
          </w:tcPr>
          <w:p>
            <w:r>
              <w:rPr>
                <w:rFonts w:hint="eastAsia"/>
              </w:rPr>
              <w:t>工作单位</w:t>
            </w:r>
          </w:p>
        </w:tc>
        <w:tc>
          <w:tcPr>
            <w:tcW w:w="2883"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166" w:type="dxa"/>
            <w:vAlign w:val="center"/>
          </w:tcPr>
          <w:p/>
        </w:tc>
        <w:tc>
          <w:tcPr>
            <w:tcW w:w="2883"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2"/>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eastAsia="宋体"/>
                <w:b/>
                <w:sz w:val="21"/>
                <w:szCs w:val="21"/>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348615</wp:posOffset>
                  </wp:positionV>
                  <wp:extent cx="954405" cy="45910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4405" cy="45910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3"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2022年6月20日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Times New Roman" w:hAnsi="Times New Roman" w:cs="Times New Roman"/>
                <w:b/>
                <w:bCs/>
              </w:rPr>
            </w:pPr>
            <w:r>
              <w:rPr>
                <w:rFonts w:hint="eastAsia"/>
                <w:b/>
                <w:bCs/>
              </w:rPr>
              <w:t>以质量求生存、以效益求发展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机遇：公司产品机构调整，给公司带来潜在的客户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r>
                    <w:rPr>
                      <w:rFonts w:hint="eastAsia" w:cs="Times New Roman"/>
                      <w:sz w:val="18"/>
                      <w:szCs w:val="18"/>
                      <w:lang w:eastAsia="zh-CN"/>
                    </w:rPr>
                    <w:t>市场</w:t>
                  </w:r>
                  <w:r>
                    <w:rPr>
                      <w:rFonts w:hint="eastAsia" w:ascii="Times New Roman" w:hAnsi="Times New Roman" w:eastAsia="宋体" w:cs="Times New Roman"/>
                      <w:sz w:val="18"/>
                      <w:szCs w:val="18"/>
                    </w:rPr>
                    <w:t>部门加大市场开拓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机遇：所采购产品可能会降价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合格供方选择、评价，进货产品验证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公司目前主要产品承接产品市场占有份额一般，此类产品企业较多</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机遇：市场竞争加剧，发展压力加大</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213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13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4" w:type="dxa"/>
                  <w:shd w:val="clear" w:color="auto" w:fill="auto"/>
                </w:tcPr>
                <w:p>
                  <w:pPr>
                    <w:bidi w:val="0"/>
                    <w:rPr>
                      <w:rFonts w:hint="eastAsia" w:ascii="Times New Roman" w:hAnsi="Times New Roman" w:eastAsia="宋体" w:cs="Times New Roman"/>
                      <w:sz w:val="18"/>
                      <w:szCs w:val="18"/>
                    </w:rPr>
                  </w:pPr>
                  <w:r>
                    <w:rPr>
                      <w:rFonts w:hint="eastAsia" w:cs="宋体"/>
                      <w:lang w:eastAsia="zh-CN"/>
                    </w:rPr>
                    <w:t>产品出厂交验合格率≥90%</w:t>
                  </w:r>
                </w:p>
              </w:tc>
              <w:tc>
                <w:tcPr>
                  <w:tcW w:w="2133"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4" w:type="dxa"/>
                  <w:shd w:val="clear" w:color="auto" w:fill="auto"/>
                </w:tcPr>
                <w:p>
                  <w:pPr>
                    <w:rPr>
                      <w:rFonts w:hint="eastAsia" w:ascii="Times New Roman" w:hAnsi="Times New Roman" w:eastAsia="宋体" w:cs="Times New Roman"/>
                      <w:sz w:val="18"/>
                      <w:szCs w:val="18"/>
                    </w:rPr>
                  </w:pPr>
                  <w:r>
                    <w:rPr>
                      <w:rFonts w:hint="eastAsia" w:cs="宋体"/>
                      <w:lang w:eastAsia="zh-CN"/>
                    </w:rPr>
                    <w:t>顾客满意率≥90%</w:t>
                  </w:r>
                </w:p>
              </w:tc>
              <w:tc>
                <w:tcPr>
                  <w:tcW w:w="2133"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主要设备有：</w:t>
            </w:r>
            <w:r>
              <w:rPr>
                <w:rFonts w:hint="eastAsia" w:ascii="楷体" w:hAnsi="楷体" w:eastAsia="楷体"/>
                <w:szCs w:val="21"/>
                <w:lang w:eastAsia="zh-CN"/>
              </w:rPr>
              <w:t>台式钻床、型材切割机、冲床、工作台、开式可倾压力机、铆枪</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千分尺、游标卡尺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4"/>
              <w:gridCol w:w="156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tcPr>
                <w:p>
                  <w:pPr>
                    <w:shd w:val="clear" w:color="auto" w:fill="C7DAF1" w:themeFill="text2" w:themeFillTint="32"/>
                    <w:jc w:val="left"/>
                  </w:pPr>
                  <w:r>
                    <w:rPr>
                      <w:rFonts w:hint="eastAsia"/>
                    </w:rPr>
                    <w:t>产品/服务名称</w:t>
                  </w:r>
                </w:p>
              </w:tc>
              <w:tc>
                <w:tcPr>
                  <w:tcW w:w="156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4" w:type="dxa"/>
                </w:tcPr>
                <w:p>
                  <w:pPr>
                    <w:shd w:val="clear" w:color="auto" w:fill="C7DAF1" w:themeFill="text2" w:themeFillTint="32"/>
                    <w:jc w:val="left"/>
                    <w:rPr>
                      <w:rFonts w:hint="eastAsia" w:eastAsia="宋体"/>
                      <w:lang w:eastAsia="zh-CN"/>
                    </w:rPr>
                  </w:pPr>
                  <w:r>
                    <w:rPr>
                      <w:rFonts w:hint="eastAsia" w:ascii="Times New Roman" w:hAnsi="Times New Roman" w:eastAsia="宋体" w:cs="Times New Roman"/>
                      <w:sz w:val="21"/>
                      <w:szCs w:val="21"/>
                    </w:rPr>
                    <w:t>标识牌、防鸟设备、围栏设施的加工及销售；无人驾驶航空器、安全工器具、仪器仪表、消防器材、五金材料的销售</w:t>
                  </w:r>
                </w:p>
              </w:tc>
              <w:tc>
                <w:tcPr>
                  <w:tcW w:w="1563" w:type="dxa"/>
                </w:tcPr>
                <w:p>
                  <w:pPr>
                    <w:shd w:val="clear" w:color="auto" w:fill="C7DAF1" w:themeFill="text2" w:themeFillTint="32"/>
                    <w:jc w:val="left"/>
                    <w:rPr>
                      <w:rFonts w:hint="default" w:eastAsia="宋体"/>
                      <w:lang w:val="en-US" w:eastAsia="zh-CN"/>
                    </w:rPr>
                  </w:pPr>
                  <w:r>
                    <w:rPr>
                      <w:rFonts w:hint="eastAsia" w:ascii="宋体" w:hAnsi="宋体"/>
                      <w:color w:val="000000"/>
                      <w:sz w:val="20"/>
                      <w:szCs w:val="20"/>
                      <w:u w:val="single"/>
                      <w:lang w:val="en-US" w:eastAsia="zh-CN"/>
                    </w:rPr>
                    <w:t>组装、销售</w:t>
                  </w:r>
                </w:p>
              </w:tc>
              <w:tc>
                <w:tcPr>
                  <w:tcW w:w="3265" w:type="dxa"/>
                </w:tcPr>
                <w:p>
                  <w:pPr>
                    <w:shd w:val="clear" w:color="auto" w:fill="C7DAF1" w:themeFill="text2" w:themeFillTint="32"/>
                    <w:jc w:val="left"/>
                    <w:rPr>
                      <w:rFonts w:hint="default"/>
                      <w:lang w:val="en-US"/>
                    </w:rPr>
                  </w:pPr>
                  <w:r>
                    <w:rPr>
                      <w:rFonts w:hint="eastAsia"/>
                      <w:color w:val="000000"/>
                      <w:u w:val="single"/>
                      <w:lang w:val="en-US" w:eastAsia="zh-CN"/>
                    </w:rPr>
                    <w:t>订单执行时间、需求数量、尺寸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olor w:val="000000"/>
                <w:sz w:val="20"/>
                <w:szCs w:val="20"/>
                <w:u w:val="single"/>
                <w:lang w:val="en-US" w:eastAsia="zh-CN"/>
              </w:rPr>
              <w:t>组装、销售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rPr>
                <w:rFonts w:hint="eastAsia"/>
              </w:rPr>
            </w:pPr>
            <w:r>
              <w:rPr>
                <w:rFonts w:hint="eastAsia"/>
              </w:rPr>
              <w:t>针对顾客不满意的问题进行了分析和改进。</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2022.5.1-2</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2022年5月17日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ascii="Times New Roman" w:hAnsi="Times New Roman" w:cs="Times New Roman"/>
                <w:b/>
                <w:bCs/>
              </w:rPr>
            </w:pPr>
            <w:r>
              <w:rPr>
                <w:rFonts w:hint="eastAsia" w:cs="宋体"/>
                <w:b/>
                <w:bCs/>
              </w:rPr>
              <w:t>环保、高效、节能、减排</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401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shd w:val="clear" w:color="auto" w:fill="EBF1DE" w:themeFill="accent3" w:themeFillTint="32"/>
                  </w:pPr>
                  <w:r>
                    <w:rPr>
                      <w:rFonts w:hint="eastAsia"/>
                    </w:rPr>
                    <w:t>主要的风险或机遇描述</w:t>
                  </w:r>
                </w:p>
              </w:tc>
              <w:tc>
                <w:tcPr>
                  <w:tcW w:w="401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tcPr>
                <w:p>
                  <w:pPr>
                    <w:shd w:val="clear" w:color="auto" w:fill="EBF1DE" w:themeFill="accent3" w:themeFillTint="32"/>
                    <w:rPr>
                      <w:sz w:val="18"/>
                      <w:szCs w:val="18"/>
                    </w:rPr>
                  </w:pPr>
                  <w:r>
                    <w:rPr>
                      <w:rFonts w:hint="eastAsia"/>
                      <w:sz w:val="18"/>
                      <w:szCs w:val="18"/>
                    </w:rPr>
                    <w:t>公司产品售后服务处理不好，顾客埋怨投诉较多，以及产品寿命结束后的回收处理问题</w:t>
                  </w:r>
                </w:p>
              </w:tc>
              <w:tc>
                <w:tcPr>
                  <w:tcW w:w="4011" w:type="dxa"/>
                </w:tcPr>
                <w:p>
                  <w:pPr>
                    <w:shd w:val="clear" w:color="auto" w:fill="EBF1DE" w:themeFill="accent3" w:themeFillTint="32"/>
                    <w:rPr>
                      <w:sz w:val="18"/>
                      <w:szCs w:val="18"/>
                    </w:rPr>
                  </w:pPr>
                  <w:r>
                    <w:rPr>
                      <w:rFonts w:hint="eastAsia" w:ascii="宋体" w:hAnsi="宋体" w:cs="宋体"/>
                      <w:b w:val="0"/>
                      <w:bCs w:val="0"/>
                      <w:kern w:val="0"/>
                      <w:sz w:val="18"/>
                      <w:szCs w:val="18"/>
                      <w:lang w:val="en-US" w:eastAsia="zh-CN" w:bidi="ar-SA"/>
                    </w:rPr>
                    <w:t>供销</w:t>
                  </w:r>
                  <w:r>
                    <w:rPr>
                      <w:rFonts w:hint="eastAsia" w:ascii="宋体" w:hAnsi="宋体" w:eastAsia="宋体" w:cs="宋体"/>
                      <w:b w:val="0"/>
                      <w:bCs w:val="0"/>
                      <w:kern w:val="0"/>
                      <w:sz w:val="18"/>
                      <w:szCs w:val="18"/>
                      <w:lang w:val="en-US" w:eastAsia="zh-CN" w:bidi="ar-SA"/>
                    </w:rPr>
                    <w:t>部要严格按照售后服务管理规定，做好客户服务工作</w:t>
                  </w:r>
                </w:p>
              </w:tc>
              <w:tc>
                <w:tcPr>
                  <w:tcW w:w="1717" w:type="dxa"/>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生产</w:t>
                  </w:r>
                  <w:r>
                    <w:rPr>
                      <w:rFonts w:hint="default" w:ascii="Times New Roman" w:hAnsi="Times New Roman" w:eastAsia="宋体" w:cs="Times New Roman"/>
                      <w:sz w:val="18"/>
                      <w:szCs w:val="18"/>
                    </w:rPr>
                    <w:t>设备的</w:t>
                  </w:r>
                  <w:r>
                    <w:rPr>
                      <w:rFonts w:hint="eastAsia" w:ascii="Times New Roman" w:hAnsi="Times New Roman" w:eastAsia="宋体" w:cs="Times New Roman"/>
                      <w:sz w:val="18"/>
                      <w:szCs w:val="18"/>
                      <w:lang w:eastAsia="zh-CN"/>
                    </w:rPr>
                    <w:t>生产</w:t>
                  </w:r>
                  <w:r>
                    <w:rPr>
                      <w:rFonts w:hint="default" w:ascii="Times New Roman" w:hAnsi="Times New Roman" w:eastAsia="宋体" w:cs="Times New Roman"/>
                      <w:sz w:val="18"/>
                      <w:szCs w:val="18"/>
                    </w:rPr>
                    <w:t>、环境保障、安全保障能力（保养、大修状况）</w:t>
                  </w:r>
                </w:p>
              </w:tc>
              <w:tc>
                <w:tcPr>
                  <w:tcW w:w="4011" w:type="dxa"/>
                  <w:vAlign w:val="top"/>
                </w:tcPr>
                <w:p>
                  <w:pP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1严格制定保养、大修制度，制定专人进行设备管理。2制定管理方案3检修和保养</w:t>
                  </w:r>
                  <w:r>
                    <w:rPr>
                      <w:rFonts w:hint="eastAsia" w:ascii="Times New Roman" w:hAnsi="Times New Roman" w:cs="Times New Roman"/>
                      <w:sz w:val="18"/>
                      <w:szCs w:val="18"/>
                      <w:lang w:val="en-US" w:eastAsia="zh-CN"/>
                    </w:rPr>
                    <w:t>环保</w:t>
                  </w:r>
                  <w:r>
                    <w:rPr>
                      <w:rFonts w:hint="default" w:ascii="Times New Roman" w:hAnsi="Times New Roman" w:eastAsia="宋体" w:cs="Times New Roman"/>
                      <w:sz w:val="18"/>
                      <w:szCs w:val="18"/>
                    </w:rPr>
                    <w:t>设施。</w:t>
                  </w:r>
                </w:p>
              </w:tc>
              <w:tc>
                <w:tcPr>
                  <w:tcW w:w="1717"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055"/>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405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auto"/>
                </w:tcPr>
                <w:p>
                  <w:pPr>
                    <w:shd w:val="clear" w:color="auto" w:fill="EBF1DE" w:themeFill="accent3" w:themeFillTint="32"/>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固体废物100%分类收集</w:t>
                  </w:r>
                </w:p>
              </w:tc>
              <w:tc>
                <w:tcPr>
                  <w:tcW w:w="4055" w:type="dxa"/>
                  <w:shd w:val="clear" w:color="auto" w:fill="auto"/>
                  <w:vAlign w:val="center"/>
                </w:tcPr>
                <w:p>
                  <w:pPr>
                    <w:shd w:val="clear" w:color="auto" w:fill="EBF1DE" w:themeFill="accent3" w:themeFillTint="32"/>
                    <w:rPr>
                      <w:rFonts w:hint="default"/>
                      <w:sz w:val="18"/>
                      <w:szCs w:val="18"/>
                      <w:lang w:val="en-US"/>
                    </w:rPr>
                  </w:pPr>
                  <w:r>
                    <w:rPr>
                      <w:rFonts w:hint="eastAsia" w:ascii="Times New Roman" w:hAnsi="Times New Roman" w:cs="Times New Roman"/>
                      <w:sz w:val="18"/>
                      <w:szCs w:val="18"/>
                      <w:lang w:val="en-US" w:eastAsia="zh-CN"/>
                    </w:rPr>
                    <w:t>办公室对人员进行培训，办公场所设置</w:t>
                  </w:r>
                  <w:r>
                    <w:rPr>
                      <w:rFonts w:hint="eastAsia" w:cs="Times New Roman"/>
                      <w:sz w:val="18"/>
                      <w:szCs w:val="18"/>
                      <w:lang w:val="en-US" w:eastAsia="zh-CN"/>
                    </w:rPr>
                    <w:t>固废分类处置箱</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auto"/>
                </w:tcPr>
                <w:p>
                  <w:pPr>
                    <w:shd w:val="clear" w:color="auto" w:fill="EBF1DE" w:themeFill="accent3" w:themeFillTint="32"/>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火灾发生率0%</w:t>
                  </w:r>
                </w:p>
              </w:tc>
              <w:tc>
                <w:tcPr>
                  <w:tcW w:w="4055" w:type="dxa"/>
                  <w:shd w:val="clear" w:color="auto" w:fill="auto"/>
                  <w:vAlign w:val="center"/>
                </w:tcPr>
                <w:p>
                  <w:pPr>
                    <w:shd w:val="clear" w:color="auto" w:fill="EBF1DE" w:themeFill="accent3" w:themeFillTint="32"/>
                    <w:rPr>
                      <w:rFonts w:hint="eastAsia"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消防设备按照位置明显，易于使用。在特殊地区严禁烟火和张贴防火标示。定期对安防设备进行检测和演练。加强防火意识和防火设备使用培训</w:t>
                  </w:r>
                </w:p>
              </w:tc>
              <w:tc>
                <w:tcPr>
                  <w:tcW w:w="1214" w:type="dxa"/>
                  <w:shd w:val="clear" w:color="auto" w:fill="auto"/>
                  <w:vAlign w:val="center"/>
                </w:tcPr>
                <w:p>
                  <w:pPr>
                    <w:shd w:val="clear" w:color="auto" w:fill="EBF1DE" w:themeFill="accent3" w:themeFillTint="32"/>
                    <w:rPr>
                      <w:rFonts w:hint="default"/>
                      <w:sz w:val="18"/>
                      <w:szCs w:val="18"/>
                      <w:lang w:val="en-US" w:eastAsia="zh-CN"/>
                    </w:rPr>
                  </w:pPr>
                  <w:r>
                    <w:rPr>
                      <w:rFonts w:hint="eastAsia"/>
                      <w:sz w:val="18"/>
                      <w:szCs w:val="18"/>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主要设备有：</w:t>
            </w:r>
            <w:r>
              <w:rPr>
                <w:rFonts w:hint="eastAsia" w:cs="Times New Roman"/>
                <w:szCs w:val="21"/>
                <w:lang w:eastAsia="zh-CN"/>
              </w:rPr>
              <w:t>台式钻床、型材切割机、冲床、工作台、开式可倾压力机、铆枪</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lang w:eastAsia="zh-CN"/>
              </w:rPr>
              <w:t>☑</w:t>
            </w:r>
            <w:r>
              <w:rPr>
                <w:rFonts w:hint="eastAsia"/>
              </w:rPr>
              <w:t>定期（每年）：</w:t>
            </w:r>
            <w:r>
              <w:rPr>
                <w:rFonts w:hint="eastAsia"/>
                <w:lang w:val="en-US" w:eastAsia="zh-CN"/>
              </w:rPr>
              <w:t>2022年4月27日</w:t>
            </w:r>
          </w:p>
          <w:p>
            <w:pPr>
              <w:shd w:val="clear" w:color="auto" w:fill="EBF1DE" w:themeFill="accent3" w:themeFillTint="32"/>
            </w:pPr>
            <w:r>
              <w:rPr>
                <w:rFonts w:hint="eastAsia"/>
                <w:lang w:eastAsia="zh-CN"/>
              </w:rPr>
              <w:t>□</w:t>
            </w:r>
            <w:r>
              <w:rPr>
                <w:rFonts w:hint="eastAsia"/>
              </w:rPr>
              <w:t>特殊情况（法规变化）：年月日</w:t>
            </w:r>
          </w:p>
          <w:p>
            <w:pPr>
              <w:shd w:val="clear" w:color="auto" w:fill="EBF1DE" w:themeFill="accent3" w:themeFillTint="32"/>
              <w:rPr>
                <w:rFonts w:hint="eastAsia"/>
              </w:rPr>
            </w:pPr>
            <w:r>
              <w:rPr>
                <w:rFonts w:hint="eastAsia"/>
              </w:rPr>
              <w:t>对评价合规性发现的问题，采取必要的措施；对合规性评价结果的文件化证据进行了保留。</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2022.5.1-2</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2022年5月17日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rPr>
                <w:rFonts w:hint="eastAsia"/>
              </w:rPr>
            </w:pPr>
            <w:r>
              <w:rPr>
                <w:rFonts w:hint="eastAsia"/>
              </w:rPr>
              <w:t>预防为主、安全第一</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hint="eastAsi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生产部</w:t>
            </w:r>
          </w:p>
          <w:p>
            <w:pPr>
              <w:rPr>
                <w:rFonts w:hint="eastAsia"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Times New Roman"/>
                <w:sz w:val="21"/>
                <w:szCs w:val="21"/>
                <w:lang w:eastAsia="zh-CN"/>
              </w:rPr>
              <w:t>梁润轩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438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r>
                    <w:rPr>
                      <w:rFonts w:hint="eastAsia"/>
                    </w:rPr>
                    <w:t>主要的风险或机遇描述</w:t>
                  </w:r>
                </w:p>
              </w:tc>
              <w:tc>
                <w:tcPr>
                  <w:tcW w:w="438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疫情爆发带来的不安定</w:t>
                  </w:r>
                </w:p>
              </w:tc>
              <w:tc>
                <w:tcPr>
                  <w:tcW w:w="4381"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tcPr>
                <w:p>
                  <w:pPr>
                    <w:rPr>
                      <w:rFonts w:hint="eastAsia"/>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化学伤害</w:t>
            </w:r>
            <w:r>
              <w:rPr>
                <w:rFonts w:hint="eastAsia"/>
                <w:lang w:eastAsia="zh-CN"/>
              </w:rPr>
              <w:t>□</w:t>
            </w:r>
            <w:r>
              <w:rPr>
                <w:rFonts w:hint="eastAsia"/>
              </w:rPr>
              <w:t>噪声□粉尘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lang w:eastAsia="zh-CN"/>
              </w:rPr>
              <w:t>□</w:t>
            </w:r>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工伤频率小于1‰</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无重伤及死亡事故</w:t>
                  </w:r>
                </w:p>
                <w:p>
                  <w:r>
                    <w:rPr>
                      <w:rFonts w:hint="eastAsia" w:ascii="Times New Roman" w:hAnsi="Times New Roman" w:cs="Times New Roman"/>
                      <w:sz w:val="18"/>
                      <w:szCs w:val="18"/>
                      <w:lang w:val="en-US" w:eastAsia="zh-CN"/>
                    </w:rPr>
                    <w:t>火灾发生率为零</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主要设备有：</w:t>
            </w:r>
            <w:r>
              <w:rPr>
                <w:rFonts w:hint="eastAsia" w:ascii="楷体" w:hAnsi="楷体" w:eastAsia="楷体"/>
                <w:szCs w:val="21"/>
                <w:lang w:eastAsia="zh-CN"/>
              </w:rPr>
              <w:t>台式钻床、型材切割机、冲床、工作台、开式可倾压力机、铆枪</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w:t>
            </w:r>
            <w:r>
              <w:rPr>
                <w:rFonts w:hint="eastAsia"/>
                <w:lang w:eastAsia="zh-CN"/>
              </w:rPr>
              <w:t>□</w:t>
            </w:r>
            <w:r>
              <w:rPr>
                <w:rFonts w:hint="eastAsia"/>
              </w:rPr>
              <w:t>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组织的生产和服务提供流程图（见第三条款），企业危险源和职业健康安全风险控制情况</w:t>
            </w:r>
          </w:p>
          <w:p>
            <w:pPr>
              <w:pStyle w:val="1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ascii="Times New Roman" w:hAnsi="Times New Roman" w:eastAsia="宋体" w:cs="Times New Roman"/>
                      <w:kern w:val="2"/>
                      <w:sz w:val="21"/>
                      <w:szCs w:val="24"/>
                      <w:lang w:val="en-US" w:eastAsia="zh-CN" w:bidi="ar-SA"/>
                    </w:rPr>
                  </w:pPr>
                  <w:r>
                    <w:rPr>
                      <w:rFonts w:hint="eastAsia"/>
                    </w:rPr>
                    <w:t>触电</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eastAsia="zh-CN"/>
                    </w:rPr>
                    <w:t>☑</w:t>
                  </w:r>
                  <w:r>
                    <w:rPr>
                      <w:rFonts w:hint="eastAsia"/>
                    </w:rPr>
                    <w:t>漏电保护□绝缘用具检测</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管理方案、应急预案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hint="eastAsia" w:eastAsia="宋体"/>
                <w:lang w:eastAsia="zh-CN"/>
              </w:rPr>
            </w:pPr>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日进行了</w:t>
            </w:r>
            <w:r>
              <w:rPr>
                <w:rFonts w:hint="eastAsia"/>
                <w:lang w:val="en-US" w:eastAsia="zh-CN"/>
              </w:rPr>
              <w:t>机械伤害</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2022年4月27日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2022.5.1-2</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rPr>
                <w:rFonts w:hint="eastAsia" w:ascii="Times New Roman" w:hAnsi="Times New Roman" w:eastAsia="宋体" w:cs="Times New Roman"/>
              </w:rPr>
            </w:pPr>
          </w:p>
          <w:p>
            <w:pPr>
              <w:rPr>
                <w:rFonts w:hint="eastAsia" w:ascii="Times New Roman" w:hAnsi="Times New Roman" w:eastAsia="宋体" w:cs="Times New Roman"/>
              </w:rPr>
            </w:pPr>
            <w:r>
              <w:rPr>
                <w:rFonts w:hint="eastAsia" w:ascii="Times New Roman" w:hAnsi="Times New Roman" w:eastAsia="宋体" w:cs="Times New Roman"/>
              </w:rPr>
              <w:t>若是组织多场所/临时场所：（按照组织的实际情况选择）</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内审贯穿了多场所/临时现场，内审的验证结论是正面的。管理者代表相应的职权覆盖了所有的场所。）</w:t>
            </w:r>
          </w:p>
          <w:p>
            <w:pPr>
              <w:pStyle w:val="12"/>
              <w:rPr>
                <w:rFonts w:hint="eastAsia"/>
              </w:rPr>
            </w:pP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2022年5月17日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bookmarkStart w:id="34" w:name="_GoBack"/>
            <w:bookmarkEnd w:id="34"/>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39A67F1C"/>
    <w:rsid w:val="411876DE"/>
    <w:rsid w:val="49DE0FA5"/>
    <w:rsid w:val="4DB57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2022-07-05T07:57:04Z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ies>
</file>